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56" w:afterLines="50" w:line="400" w:lineRule="exact"/>
        <w:jc w:val="center"/>
        <w:rPr>
          <w:rFonts w:ascii="黑体" w:hAnsi="宋体" w:eastAsia="黑体" w:cs="Times New Roman"/>
          <w:b/>
          <w:bCs/>
          <w:color w:val="000000" w:themeColor="text1"/>
          <w:sz w:val="36"/>
          <w:szCs w:val="36"/>
          <w14:textFill>
            <w14:solidFill>
              <w14:schemeClr w14:val="tx1"/>
            </w14:solidFill>
          </w14:textFill>
        </w:rPr>
      </w:pPr>
      <w:r>
        <w:rPr>
          <w:rFonts w:hint="eastAsia" w:ascii="黑体" w:hAnsi="Times New Roman" w:eastAsia="黑体" w:cs="黑体"/>
          <w:b/>
          <w:bCs/>
          <w:color w:val="000000" w:themeColor="text1"/>
          <w:sz w:val="36"/>
          <w:szCs w:val="36"/>
          <w14:textFill>
            <w14:solidFill>
              <w14:schemeClr w14:val="tx1"/>
            </w14:solidFill>
          </w14:textFill>
        </w:rPr>
        <w:t>长沙理工大学共青团工作</w:t>
      </w:r>
      <w:r>
        <w:rPr>
          <w:rFonts w:hint="eastAsia" w:ascii="黑体" w:hAnsi="宋体" w:eastAsia="黑体" w:cs="黑体"/>
          <w:b/>
          <w:bCs/>
          <w:color w:val="000000" w:themeColor="text1"/>
          <w:sz w:val="36"/>
          <w:szCs w:val="36"/>
          <w14:textFill>
            <w14:solidFill>
              <w14:schemeClr w14:val="tx1"/>
            </w14:solidFill>
          </w14:textFill>
        </w:rPr>
        <w:t>年度考核指标体系及评分细则</w:t>
      </w:r>
      <w:bookmarkStart w:id="0" w:name="_GoBack"/>
      <w:bookmarkEnd w:id="0"/>
    </w:p>
    <w:tbl>
      <w:tblPr>
        <w:tblStyle w:val="3"/>
        <w:tblpPr w:leftFromText="180" w:rightFromText="180" w:vertAnchor="text" w:horzAnchor="page" w:tblpX="1048" w:tblpY="455"/>
        <w:tblOverlap w:val="never"/>
        <w:tblW w:w="14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4224"/>
        <w:gridCol w:w="7265"/>
        <w:gridCol w:w="76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15" w:type="dxa"/>
            <w:vAlign w:val="center"/>
          </w:tcPr>
          <w:p>
            <w:pPr>
              <w:spacing w:line="400" w:lineRule="exact"/>
              <w:jc w:val="center"/>
              <w:rPr>
                <w:rFonts w:ascii="黑体" w:hAnsi="黑体" w:eastAsia="黑体" w:cs="Times New Roman"/>
                <w:b/>
                <w:bCs/>
                <w:color w:val="000000" w:themeColor="text1"/>
                <w:szCs w:val="21"/>
                <w14:textFill>
                  <w14:solidFill>
                    <w14:schemeClr w14:val="tx1"/>
                  </w14:solidFill>
                </w14:textFill>
              </w:rPr>
            </w:pPr>
            <w:r>
              <w:rPr>
                <w:rFonts w:hint="eastAsia" w:ascii="黑体" w:hAnsi="黑体" w:eastAsia="黑体" w:cs="黑体"/>
                <w:b/>
                <w:bCs/>
                <w:color w:val="000000" w:themeColor="text1"/>
                <w:szCs w:val="21"/>
                <w14:textFill>
                  <w14:solidFill>
                    <w14:schemeClr w14:val="tx1"/>
                  </w14:solidFill>
                </w14:textFill>
              </w:rPr>
              <w:t>一级指标</w:t>
            </w:r>
          </w:p>
        </w:tc>
        <w:tc>
          <w:tcPr>
            <w:tcW w:w="4224" w:type="dxa"/>
            <w:vAlign w:val="center"/>
          </w:tcPr>
          <w:p>
            <w:pPr>
              <w:spacing w:line="400" w:lineRule="exact"/>
              <w:jc w:val="center"/>
              <w:rPr>
                <w:rFonts w:ascii="黑体" w:hAnsi="黑体" w:eastAsia="黑体" w:cs="Times New Roman"/>
                <w:b/>
                <w:bCs/>
                <w:color w:val="000000" w:themeColor="text1"/>
                <w:szCs w:val="21"/>
                <w14:textFill>
                  <w14:solidFill>
                    <w14:schemeClr w14:val="tx1"/>
                  </w14:solidFill>
                </w14:textFill>
              </w:rPr>
            </w:pPr>
            <w:r>
              <w:rPr>
                <w:rFonts w:hint="eastAsia" w:ascii="黑体" w:hAnsi="黑体" w:eastAsia="黑体" w:cs="黑体"/>
                <w:b/>
                <w:bCs/>
                <w:color w:val="000000" w:themeColor="text1"/>
                <w:szCs w:val="21"/>
                <w14:textFill>
                  <w14:solidFill>
                    <w14:schemeClr w14:val="tx1"/>
                  </w14:solidFill>
                </w14:textFill>
              </w:rPr>
              <w:t>二级指标</w:t>
            </w:r>
          </w:p>
        </w:tc>
        <w:tc>
          <w:tcPr>
            <w:tcW w:w="7265" w:type="dxa"/>
            <w:vAlign w:val="center"/>
          </w:tcPr>
          <w:p>
            <w:pPr>
              <w:spacing w:line="400" w:lineRule="exact"/>
              <w:jc w:val="center"/>
              <w:rPr>
                <w:rFonts w:ascii="黑体" w:hAnsi="黑体" w:eastAsia="黑体" w:cs="Times New Roman"/>
                <w:b/>
                <w:bCs/>
                <w:color w:val="000000" w:themeColor="text1"/>
                <w:szCs w:val="21"/>
                <w14:textFill>
                  <w14:solidFill>
                    <w14:schemeClr w14:val="tx1"/>
                  </w14:solidFill>
                </w14:textFill>
              </w:rPr>
            </w:pPr>
            <w:r>
              <w:rPr>
                <w:rFonts w:hint="eastAsia" w:ascii="黑体" w:hAnsi="黑体" w:eastAsia="黑体" w:cs="黑体"/>
                <w:b/>
                <w:bCs/>
                <w:color w:val="000000" w:themeColor="text1"/>
                <w:szCs w:val="21"/>
                <w14:textFill>
                  <w14:solidFill>
                    <w14:schemeClr w14:val="tx1"/>
                  </w14:solidFill>
                </w14:textFill>
              </w:rPr>
              <w:t>三级指标及计分办法</w:t>
            </w:r>
          </w:p>
        </w:tc>
        <w:tc>
          <w:tcPr>
            <w:tcW w:w="760" w:type="dxa"/>
            <w:vAlign w:val="center"/>
          </w:tcPr>
          <w:p>
            <w:pPr>
              <w:spacing w:line="400" w:lineRule="exact"/>
              <w:jc w:val="center"/>
              <w:rPr>
                <w:rFonts w:ascii="黑体" w:hAnsi="黑体" w:eastAsia="黑体" w:cs="Times New Roman"/>
                <w:b/>
                <w:bCs/>
                <w:color w:val="000000" w:themeColor="text1"/>
                <w:szCs w:val="21"/>
                <w14:textFill>
                  <w14:solidFill>
                    <w14:schemeClr w14:val="tx1"/>
                  </w14:solidFill>
                </w14:textFill>
              </w:rPr>
            </w:pPr>
            <w:r>
              <w:rPr>
                <w:rFonts w:hint="eastAsia" w:ascii="黑体" w:hAnsi="黑体" w:eastAsia="黑体" w:cs="黑体"/>
                <w:b/>
                <w:bCs/>
                <w:color w:val="000000" w:themeColor="text1"/>
                <w:szCs w:val="21"/>
                <w14:textFill>
                  <w14:solidFill>
                    <w14:schemeClr w14:val="tx1"/>
                  </w14:solidFill>
                </w14:textFill>
              </w:rPr>
              <w:t>分值</w:t>
            </w:r>
          </w:p>
        </w:tc>
        <w:tc>
          <w:tcPr>
            <w:tcW w:w="1556" w:type="dxa"/>
            <w:vAlign w:val="center"/>
          </w:tcPr>
          <w:p>
            <w:pPr>
              <w:spacing w:line="400" w:lineRule="exact"/>
              <w:jc w:val="center"/>
              <w:rPr>
                <w:rFonts w:hint="eastAsia"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考评方式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组织建设</w:t>
            </w:r>
          </w:p>
          <w:p>
            <w:pPr>
              <w:jc w:val="lef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分团委（</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分）：学院分团委机构健全、制度完善，能按要求完成各项工作任务；学院配强分团委书记，关心分团委书记的工作和发展。</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分团委书记须经学院团代会选举产生，团代会组织方案需事先向团委请示，经同意后召开；分团委书记原则上需由主任辅导员担任</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院级青马学院（团校、党校）工作正常，按期开展入党积极分子培训和学生骨干轮训等工作；在青年教职工中开展各类活动</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团组织推优工作程序正确，材料规范</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团员电子注册、新团员发展、团组织接转工作程序正确，工作规范</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按时按量缴纳团费</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学生会（</w:t>
            </w:r>
            <w:r>
              <w:rPr>
                <w:rFonts w:hint="eastAsia" w:ascii="宋体" w:hAnsi="宋体" w:eastAsia="宋体" w:cs="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分）：学生会机构健全、制度完善，能按要求完成各项工作任务；学生干部素质过硬，作风优良；积极向学校学生联合会推荐优秀学生干部。</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按照《中华学联章程》的要求定期召开学代会，学生会经民主选举产生；学代会组织方案需事先向团委请示，经同意后召开</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获评校级“优秀学生会”或“年度创新奖”</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积极向学校学生联合会（含：学生会、学生社团联合会、阳光传媒、青年志愿者联盟和阳光艺术团）推荐优秀学生干部。根据学生干部数量（干事除外），前</w:t>
            </w:r>
            <w:r>
              <w:rPr>
                <w:rFonts w:ascii="宋体" w:hAnsi="宋体" w:eastAsia="宋体" w:cs="宋体"/>
                <w:color w:val="000000" w:themeColor="text1"/>
                <w:szCs w:val="21"/>
                <w14:textFill>
                  <w14:solidFill>
                    <w14:schemeClr w14:val="tx1"/>
                  </w14:solidFill>
                </w14:textFill>
              </w:rPr>
              <w:t>8</w:t>
            </w:r>
            <w:r>
              <w:rPr>
                <w:rFonts w:hint="eastAsia" w:ascii="宋体" w:hAnsi="宋体" w:eastAsia="宋体" w:cs="宋体"/>
                <w:color w:val="000000" w:themeColor="text1"/>
                <w:szCs w:val="21"/>
                <w14:textFill>
                  <w14:solidFill>
                    <w14:schemeClr w14:val="tx1"/>
                  </w14:solidFill>
                </w14:textFill>
              </w:rPr>
              <w:t>名的学院得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分，其他学院得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分，没有向学联输送干部的学院不得分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团支部和班委会（</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分）：班级团支部和班委会设置健全，工作得力，积极培育优秀团支部</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每个班级均成立团支部和班委会，按照校团委的要求设置班团干部岗位，工作效果良好，班级团支部战斗堡垒作用显著</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有团支部获得“校级五四红旗团支部”得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分，没有不得分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jc w:val="lef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专业社团（</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分）：依托专业学科建立专业社团，开展第二课堂专业学习、科研和实践活动。</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按程序办理新社团注册手续，服从校学生社团联合会的统一管理，得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分；有社团被注销则不得分。没有成立专业社团不得分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专业社团覆盖率达到</w:t>
            </w:r>
            <w:r>
              <w:rPr>
                <w:rFonts w:ascii="宋体" w:hAnsi="宋体" w:eastAsia="宋体" w:cs="宋体"/>
                <w:color w:val="000000" w:themeColor="text1"/>
                <w:szCs w:val="21"/>
                <w14:textFill>
                  <w14:solidFill>
                    <w14:schemeClr w14:val="tx1"/>
                  </w14:solidFill>
                </w14:textFill>
              </w:rPr>
              <w:t>100%</w:t>
            </w:r>
            <w:r>
              <w:rPr>
                <w:rFonts w:hint="eastAsia" w:ascii="宋体" w:hAnsi="宋体" w:eastAsia="宋体" w:cs="宋体"/>
                <w:color w:val="000000" w:themeColor="text1"/>
                <w:szCs w:val="21"/>
                <w14:textFill>
                  <w14:solidFill>
                    <w14:schemeClr w14:val="tx1"/>
                  </w14:solidFill>
                </w14:textFill>
              </w:rPr>
              <w:t>，每个专业均有对口的专业社团（同一专业社团可以对口多个专业）</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思想引领</w:t>
            </w:r>
          </w:p>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24</w:t>
            </w:r>
            <w:r>
              <w:rPr>
                <w:rFonts w:hint="eastAsia" w:ascii="宋体" w:hAnsi="宋体" w:eastAsia="宋体" w:cs="宋体"/>
                <w:color w:val="000000" w:themeColor="text1"/>
                <w:szCs w:val="21"/>
                <w14:textFill>
                  <w14:solidFill>
                    <w14:schemeClr w14:val="tx1"/>
                  </w14:solidFill>
                </w14:textFill>
              </w:rPr>
              <w:t>分）</w:t>
            </w: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网络思政教育及媒体宣传（</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0</w:t>
            </w:r>
            <w:r>
              <w:rPr>
                <w:rFonts w:hint="eastAsia" w:ascii="宋体" w:hAnsi="宋体" w:eastAsia="宋体" w:cs="宋体"/>
                <w:color w:val="000000" w:themeColor="text1"/>
                <w:szCs w:val="21"/>
                <w14:textFill>
                  <w14:solidFill>
                    <w14:schemeClr w14:val="tx1"/>
                  </w14:solidFill>
                </w14:textFill>
              </w:rPr>
              <w:t>分）：利用团属新媒体平台宣传社会主义核心价值观和共青团工作（国家级媒体宣传情况见“加分指标”）</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分团委建有微信公众平台，且表现活跃。</w:t>
            </w:r>
            <w:r>
              <w:rPr>
                <w:rFonts w:hint="eastAsia" w:ascii="方正仿宋简体" w:hAnsi="宋体" w:eastAsia="方正仿宋简体" w:cs="方正仿宋简体"/>
                <w:color w:val="000000" w:themeColor="text1"/>
                <w:szCs w:val="21"/>
                <w14:textFill>
                  <w14:solidFill>
                    <w14:schemeClr w14:val="tx1"/>
                  </w14:solidFill>
                </w14:textFill>
              </w:rPr>
              <w:t>按照</w:t>
            </w:r>
            <w:r>
              <w:rPr>
                <w:rFonts w:hint="eastAsia" w:ascii="方正仿宋简体" w:hAnsi="宋体" w:eastAsia="方正仿宋简体" w:cs="方正仿宋简体"/>
                <w:color w:val="000000" w:themeColor="text1"/>
                <w:szCs w:val="21"/>
                <w:lang w:eastAsia="zh-CN"/>
                <w14:textFill>
                  <w14:solidFill>
                    <w14:schemeClr w14:val="tx1"/>
                  </w14:solidFill>
                </w14:textFill>
              </w:rPr>
              <w:t>清博指数</w:t>
            </w:r>
            <w:r>
              <w:rPr>
                <w:rFonts w:hint="eastAsia" w:ascii="方正仿宋简体" w:hAnsi="宋体" w:eastAsia="方正仿宋简体" w:cs="方正仿宋简体"/>
                <w:color w:val="000000" w:themeColor="text1"/>
                <w:szCs w:val="21"/>
                <w14:textFill>
                  <w14:solidFill>
                    <w14:schemeClr w14:val="tx1"/>
                  </w14:solidFill>
                </w14:textFill>
              </w:rPr>
              <w:t>排名；未开通分团委</w:t>
            </w:r>
            <w:r>
              <w:rPr>
                <w:rFonts w:hint="eastAsia" w:ascii="宋体" w:hAnsi="宋体" w:eastAsia="宋体" w:cs="宋体"/>
                <w:color w:val="000000" w:themeColor="text1"/>
                <w:szCs w:val="21"/>
                <w14:textFill>
                  <w14:solidFill>
                    <w14:schemeClr w14:val="tx1"/>
                  </w14:solidFill>
                </w14:textFill>
              </w:rPr>
              <w:t>微信公众平台</w:t>
            </w:r>
            <w:r>
              <w:rPr>
                <w:rFonts w:hint="eastAsia" w:ascii="方正仿宋简体" w:hAnsi="宋体" w:eastAsia="方正仿宋简体" w:cs="方正仿宋简体"/>
                <w:color w:val="000000" w:themeColor="text1"/>
                <w:szCs w:val="21"/>
                <w14:textFill>
                  <w14:solidFill>
                    <w14:schemeClr w14:val="tx1"/>
                  </w14:solidFill>
                </w14:textFill>
              </w:rPr>
              <w:t>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w:t>
            </w:r>
            <w:r>
              <w:rPr>
                <w:rFonts w:hint="eastAsia" w:ascii="宋体" w:hAnsi="宋体" w:eastAsia="宋体" w:cs="宋体"/>
                <w:color w:val="000000" w:themeColor="text1"/>
                <w:szCs w:val="21"/>
                <w:lang w:eastAsia="zh-CN"/>
                <w14:textFill>
                  <w14:solidFill>
                    <w14:schemeClr w14:val="tx1"/>
                  </w14:solidFill>
                </w14:textFill>
              </w:rPr>
              <w:t>校园网主页学工</w:t>
            </w:r>
            <w:r>
              <w:rPr>
                <w:rFonts w:hint="eastAsia" w:ascii="宋体" w:hAnsi="宋体" w:eastAsia="宋体" w:cs="宋体"/>
                <w:color w:val="000000" w:themeColor="text1"/>
                <w:szCs w:val="21"/>
                <w14:textFill>
                  <w14:solidFill>
                    <w14:schemeClr w14:val="tx1"/>
                  </w14:solidFill>
                </w14:textFill>
              </w:rPr>
              <w:t>在线网站发表文章数量达到</w:t>
            </w:r>
            <w:r>
              <w:rPr>
                <w:rFonts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14:textFill>
                  <w14:solidFill>
                    <w14:schemeClr w14:val="tx1"/>
                  </w14:solidFill>
                </w14:textFill>
              </w:rPr>
              <w:t>篇得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分，每多一篇得</w:t>
            </w:r>
            <w:r>
              <w:rPr>
                <w:rFonts w:ascii="宋体" w:hAnsi="宋体" w:eastAsia="宋体" w:cs="宋体"/>
                <w:color w:val="000000" w:themeColor="text1"/>
                <w:szCs w:val="21"/>
                <w14:textFill>
                  <w14:solidFill>
                    <w14:schemeClr w14:val="tx1"/>
                  </w14:solidFill>
                </w14:textFill>
              </w:rPr>
              <w:t>0.2</w:t>
            </w:r>
            <w:r>
              <w:rPr>
                <w:rFonts w:hint="eastAsia" w:ascii="宋体" w:hAnsi="宋体" w:eastAsia="宋体" w:cs="宋体"/>
                <w:color w:val="000000" w:themeColor="text1"/>
                <w:szCs w:val="21"/>
                <w14:textFill>
                  <w14:solidFill>
                    <w14:schemeClr w14:val="tx1"/>
                  </w14:solidFill>
                </w14:textFill>
              </w:rPr>
              <w:t>分，但最多不超过</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主题团日活动（</w:t>
            </w: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分）：利用重要节日、纪念日和重大政治事件</w:t>
            </w:r>
            <w:r>
              <w:rPr>
                <w:rFonts w:hint="eastAsia" w:ascii="方正仿宋简体" w:hAnsi="Times New Roman" w:eastAsia="方正仿宋简体" w:cs="方正仿宋简体"/>
                <w:color w:val="000000" w:themeColor="text1"/>
                <w:szCs w:val="21"/>
                <w14:textFill>
                  <w14:solidFill>
                    <w14:schemeClr w14:val="tx1"/>
                  </w14:solidFill>
                </w14:textFill>
              </w:rPr>
              <w:t>广泛开展</w:t>
            </w:r>
            <w:r>
              <w:rPr>
                <w:rFonts w:ascii="方正仿宋简体" w:hAnsi="Times New Roman" w:eastAsia="方正仿宋简体" w:cs="Times New Roman"/>
                <w:color w:val="000000" w:themeColor="text1"/>
                <w:szCs w:val="21"/>
                <w14:textFill>
                  <w14:solidFill>
                    <w14:schemeClr w14:val="tx1"/>
                  </w14:solidFill>
                </w14:textFill>
              </w:rPr>
              <w:t>“</w:t>
            </w:r>
            <w:r>
              <w:rPr>
                <w:rFonts w:hint="eastAsia" w:ascii="方正仿宋简体" w:hAnsi="Times New Roman" w:eastAsia="方正仿宋简体" w:cs="方正仿宋简体"/>
                <w:color w:val="000000" w:themeColor="text1"/>
                <w:szCs w:val="21"/>
                <w14:textFill>
                  <w14:solidFill>
                    <w14:schemeClr w14:val="tx1"/>
                  </w14:solidFill>
                </w14:textFill>
              </w:rPr>
              <w:t>与信仰对话，为中国梦奋斗</w:t>
            </w:r>
            <w:r>
              <w:rPr>
                <w:rFonts w:ascii="方正仿宋简体" w:hAnsi="Times New Roman" w:eastAsia="方正仿宋简体" w:cs="Times New Roman"/>
                <w:color w:val="000000" w:themeColor="text1"/>
                <w:szCs w:val="21"/>
                <w14:textFill>
                  <w14:solidFill>
                    <w14:schemeClr w14:val="tx1"/>
                  </w14:solidFill>
                </w14:textFill>
              </w:rPr>
              <w:t>”</w:t>
            </w:r>
            <w:r>
              <w:rPr>
                <w:rFonts w:ascii="方正仿宋简体" w:hAnsi="Times New Roman" w:eastAsia="方正仿宋简体" w:cs="方正仿宋简体"/>
                <w:color w:val="000000" w:themeColor="text1"/>
                <w:szCs w:val="21"/>
                <w14:textFill>
                  <w14:solidFill>
                    <w14:schemeClr w14:val="tx1"/>
                  </w14:solidFill>
                </w14:textFill>
              </w:rPr>
              <w:t xml:space="preserve"> </w:t>
            </w:r>
            <w:r>
              <w:rPr>
                <w:rFonts w:hint="eastAsia" w:ascii="方正仿宋简体" w:hAnsi="Times New Roman" w:eastAsia="方正仿宋简体" w:cs="方正仿宋简体"/>
                <w:color w:val="000000" w:themeColor="text1"/>
                <w:szCs w:val="21"/>
                <w14:textFill>
                  <w14:solidFill>
                    <w14:schemeClr w14:val="tx1"/>
                  </w14:solidFill>
                </w14:textFill>
              </w:rPr>
              <w:t>主题团日活动和社会主义核心价值观教育。</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重要节日、纪念日和重大政治事件均需开展相应的团日活动，根据各学院相关活动新闻稿反映的情况和主题宣传栏评比情况综合评分。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组织团员青年或学生骨干集中学习全国党代会和“两会”报告及中国共产党的重大理论论述</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115"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学生及团队典型（</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分）：积极培育学生及集体典型，推荐优秀学生参评高级别荣誉称号。</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有学生获得“大学生自强之星”，校级得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分，省级和国家级（含提名奖）分别得</w:t>
            </w:r>
            <w:r>
              <w:rPr>
                <w:rFonts w:ascii="宋体" w:hAnsi="宋体" w:eastAsia="宋体" w:cs="宋体"/>
                <w:color w:val="000000" w:themeColor="text1"/>
                <w:szCs w:val="21"/>
                <w14:textFill>
                  <w14:solidFill>
                    <w14:schemeClr w14:val="tx1"/>
                  </w14:solidFill>
                </w14:textFill>
              </w:rPr>
              <w:t>1.5</w:t>
            </w:r>
            <w:r>
              <w:rPr>
                <w:rFonts w:hint="eastAsia" w:ascii="宋体" w:hAnsi="宋体" w:eastAsia="宋体" w:cs="宋体"/>
                <w:color w:val="000000" w:themeColor="text1"/>
                <w:szCs w:val="21"/>
                <w14:textFill>
                  <w14:solidFill>
                    <w14:schemeClr w14:val="tx1"/>
                  </w14:solidFill>
                </w14:textFill>
              </w:rPr>
              <w:t>分和</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1115"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有学生或团队获得共青团系统其他表彰（“优秀团员”、“身边好青年”、“小平科技创新团队”等），省级和国家级分别得</w:t>
            </w:r>
            <w:r>
              <w:rPr>
                <w:rFonts w:ascii="宋体" w:hAnsi="宋体" w:eastAsia="宋体" w:cs="宋体"/>
                <w:color w:val="000000" w:themeColor="text1"/>
                <w:szCs w:val="21"/>
                <w14:textFill>
                  <w14:solidFill>
                    <w14:schemeClr w14:val="tx1"/>
                  </w14:solidFill>
                </w14:textFill>
              </w:rPr>
              <w:t>1.5</w:t>
            </w:r>
            <w:r>
              <w:rPr>
                <w:rFonts w:hint="eastAsia" w:ascii="宋体" w:hAnsi="宋体" w:eastAsia="宋体" w:cs="宋体"/>
                <w:color w:val="000000" w:themeColor="text1"/>
                <w:szCs w:val="21"/>
                <w14:textFill>
                  <w14:solidFill>
                    <w14:schemeClr w14:val="tx1"/>
                  </w14:solidFill>
                </w14:textFill>
              </w:rPr>
              <w:t>分和</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4224" w:type="dxa"/>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工作研究（</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分）：深入研究青年及共青团工作，撰写理论文章，积极申报各类课题和研究项目</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方正仿宋简体" w:hAnsi="Times New Roman" w:eastAsia="方正仿宋简体" w:cs="方正仿宋简体"/>
                <w:color w:val="000000" w:themeColor="text1"/>
                <w:spacing w:val="-8"/>
                <w:szCs w:val="21"/>
                <w14:textFill>
                  <w14:solidFill>
                    <w14:schemeClr w14:val="tx1"/>
                  </w14:solidFill>
                </w14:textFill>
              </w:rPr>
              <w:t>学院学生辅导员公开发表与共青团工作相关的学术论文，一般刊物得</w:t>
            </w:r>
            <w:r>
              <w:rPr>
                <w:rFonts w:ascii="方正仿宋简体" w:hAnsi="Times New Roman" w:eastAsia="方正仿宋简体" w:cs="方正仿宋简体"/>
                <w:color w:val="000000" w:themeColor="text1"/>
                <w:spacing w:val="-8"/>
                <w:szCs w:val="21"/>
                <w14:textFill>
                  <w14:solidFill>
                    <w14:schemeClr w14:val="tx1"/>
                  </w14:solidFill>
                </w14:textFill>
              </w:rPr>
              <w:t>1</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r>
              <w:rPr>
                <w:rFonts w:ascii="方正仿宋简体" w:hAnsi="Times New Roman" w:eastAsia="方正仿宋简体" w:cs="方正仿宋简体"/>
                <w:color w:val="000000" w:themeColor="text1"/>
                <w:spacing w:val="-8"/>
                <w:szCs w:val="21"/>
                <w14:textFill>
                  <w14:solidFill>
                    <w14:schemeClr w14:val="tx1"/>
                  </w14:solidFill>
                </w14:textFill>
              </w:rPr>
              <w:t>/</w:t>
            </w:r>
            <w:r>
              <w:rPr>
                <w:rFonts w:hint="eastAsia" w:ascii="方正仿宋简体" w:hAnsi="Times New Roman" w:eastAsia="方正仿宋简体" w:cs="方正仿宋简体"/>
                <w:color w:val="000000" w:themeColor="text1"/>
                <w:spacing w:val="-8"/>
                <w:szCs w:val="21"/>
                <w14:textFill>
                  <w14:solidFill>
                    <w14:schemeClr w14:val="tx1"/>
                  </w14:solidFill>
                </w14:textFill>
              </w:rPr>
              <w:t>篇，核心刊物得</w:t>
            </w:r>
            <w:r>
              <w:rPr>
                <w:rFonts w:ascii="方正仿宋简体" w:hAnsi="Times New Roman" w:eastAsia="方正仿宋简体" w:cs="方正仿宋简体"/>
                <w:color w:val="000000" w:themeColor="text1"/>
                <w:spacing w:val="-8"/>
                <w:szCs w:val="21"/>
                <w14:textFill>
                  <w14:solidFill>
                    <w14:schemeClr w14:val="tx1"/>
                  </w14:solidFill>
                </w14:textFill>
              </w:rPr>
              <w:t>2</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r>
              <w:rPr>
                <w:rFonts w:ascii="方正仿宋简体" w:hAnsi="Times New Roman" w:eastAsia="方正仿宋简体" w:cs="方正仿宋简体"/>
                <w:color w:val="000000" w:themeColor="text1"/>
                <w:spacing w:val="-8"/>
                <w:szCs w:val="21"/>
                <w14:textFill>
                  <w14:solidFill>
                    <w14:schemeClr w14:val="tx1"/>
                  </w14:solidFill>
                </w14:textFill>
              </w:rPr>
              <w:t>/</w:t>
            </w:r>
            <w:r>
              <w:rPr>
                <w:rFonts w:hint="eastAsia" w:ascii="方正仿宋简体" w:hAnsi="Times New Roman" w:eastAsia="方正仿宋简体" w:cs="方正仿宋简体"/>
                <w:color w:val="000000" w:themeColor="text1"/>
                <w:spacing w:val="-8"/>
                <w:szCs w:val="21"/>
                <w14:textFill>
                  <w14:solidFill>
                    <w14:schemeClr w14:val="tx1"/>
                  </w14:solidFill>
                </w14:textFill>
              </w:rPr>
              <w:t>篇，三大检索刊物得</w:t>
            </w:r>
            <w:r>
              <w:rPr>
                <w:rFonts w:ascii="方正仿宋简体" w:hAnsi="Times New Roman" w:eastAsia="方正仿宋简体" w:cs="方正仿宋简体"/>
                <w:color w:val="000000" w:themeColor="text1"/>
                <w:spacing w:val="-8"/>
                <w:szCs w:val="21"/>
                <w14:textFill>
                  <w14:solidFill>
                    <w14:schemeClr w14:val="tx1"/>
                  </w14:solidFill>
                </w14:textFill>
              </w:rPr>
              <w:t>3</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r>
              <w:rPr>
                <w:rFonts w:ascii="方正仿宋简体" w:hAnsi="Times New Roman" w:eastAsia="方正仿宋简体" w:cs="方正仿宋简体"/>
                <w:color w:val="000000" w:themeColor="text1"/>
                <w:spacing w:val="-8"/>
                <w:szCs w:val="21"/>
                <w14:textFill>
                  <w14:solidFill>
                    <w14:schemeClr w14:val="tx1"/>
                  </w14:solidFill>
                </w14:textFill>
              </w:rPr>
              <w:t>/</w:t>
            </w:r>
            <w:r>
              <w:rPr>
                <w:rFonts w:hint="eastAsia" w:ascii="方正仿宋简体" w:hAnsi="Times New Roman" w:eastAsia="方正仿宋简体" w:cs="方正仿宋简体"/>
                <w:color w:val="000000" w:themeColor="text1"/>
                <w:spacing w:val="-8"/>
                <w:szCs w:val="21"/>
                <w14:textFill>
                  <w14:solidFill>
                    <w14:schemeClr w14:val="tx1"/>
                  </w14:solidFill>
                </w14:textFill>
              </w:rPr>
              <w:t>篇；学院学生辅导员成功申报与共青团工作相关的研究项目，校级得</w:t>
            </w:r>
            <w:r>
              <w:rPr>
                <w:rFonts w:ascii="方正仿宋简体" w:hAnsi="Times New Roman" w:eastAsia="方正仿宋简体" w:cs="方正仿宋简体"/>
                <w:color w:val="000000" w:themeColor="text1"/>
                <w:spacing w:val="-8"/>
                <w:szCs w:val="21"/>
                <w14:textFill>
                  <w14:solidFill>
                    <w14:schemeClr w14:val="tx1"/>
                  </w14:solidFill>
                </w14:textFill>
              </w:rPr>
              <w:t>1</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r>
              <w:rPr>
                <w:rFonts w:ascii="方正仿宋简体" w:hAnsi="Times New Roman" w:eastAsia="方正仿宋简体" w:cs="方正仿宋简体"/>
                <w:color w:val="000000" w:themeColor="text1"/>
                <w:spacing w:val="-8"/>
                <w:szCs w:val="21"/>
                <w14:textFill>
                  <w14:solidFill>
                    <w14:schemeClr w14:val="tx1"/>
                  </w14:solidFill>
                </w14:textFill>
              </w:rPr>
              <w:t>/</w:t>
            </w:r>
            <w:r>
              <w:rPr>
                <w:rFonts w:hint="eastAsia" w:ascii="方正仿宋简体" w:hAnsi="Times New Roman" w:eastAsia="方正仿宋简体" w:cs="方正仿宋简体"/>
                <w:color w:val="000000" w:themeColor="text1"/>
                <w:spacing w:val="-8"/>
                <w:szCs w:val="21"/>
                <w14:textFill>
                  <w14:solidFill>
                    <w14:schemeClr w14:val="tx1"/>
                  </w14:solidFill>
                </w14:textFill>
              </w:rPr>
              <w:t>项，厅级得</w:t>
            </w:r>
            <w:r>
              <w:rPr>
                <w:rFonts w:ascii="方正仿宋简体" w:hAnsi="Times New Roman" w:eastAsia="方正仿宋简体" w:cs="方正仿宋简体"/>
                <w:color w:val="000000" w:themeColor="text1"/>
                <w:spacing w:val="-8"/>
                <w:szCs w:val="21"/>
                <w14:textFill>
                  <w14:solidFill>
                    <w14:schemeClr w14:val="tx1"/>
                  </w14:solidFill>
                </w14:textFill>
              </w:rPr>
              <w:t>2</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r>
              <w:rPr>
                <w:rFonts w:ascii="方正仿宋简体" w:hAnsi="Times New Roman" w:eastAsia="方正仿宋简体" w:cs="方正仿宋简体"/>
                <w:color w:val="000000" w:themeColor="text1"/>
                <w:spacing w:val="-8"/>
                <w:szCs w:val="21"/>
                <w14:textFill>
                  <w14:solidFill>
                    <w14:schemeClr w14:val="tx1"/>
                  </w14:solidFill>
                </w14:textFill>
              </w:rPr>
              <w:t>/</w:t>
            </w:r>
            <w:r>
              <w:rPr>
                <w:rFonts w:hint="eastAsia" w:ascii="方正仿宋简体" w:hAnsi="Times New Roman" w:eastAsia="方正仿宋简体" w:cs="方正仿宋简体"/>
                <w:color w:val="000000" w:themeColor="text1"/>
                <w:spacing w:val="-8"/>
                <w:szCs w:val="21"/>
                <w14:textFill>
                  <w14:solidFill>
                    <w14:schemeClr w14:val="tx1"/>
                  </w14:solidFill>
                </w14:textFill>
              </w:rPr>
              <w:t>项，省部级级以上得</w:t>
            </w:r>
            <w:r>
              <w:rPr>
                <w:rFonts w:ascii="方正仿宋简体" w:hAnsi="Times New Roman" w:eastAsia="方正仿宋简体" w:cs="方正仿宋简体"/>
                <w:color w:val="000000" w:themeColor="text1"/>
                <w:spacing w:val="-8"/>
                <w:szCs w:val="21"/>
                <w14:textFill>
                  <w14:solidFill>
                    <w14:schemeClr w14:val="tx1"/>
                  </w14:solidFill>
                </w14:textFill>
              </w:rPr>
              <w:t>3</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r>
              <w:rPr>
                <w:rFonts w:ascii="方正仿宋简体" w:hAnsi="Times New Roman" w:eastAsia="方正仿宋简体" w:cs="方正仿宋简体"/>
                <w:color w:val="000000" w:themeColor="text1"/>
                <w:spacing w:val="-8"/>
                <w:szCs w:val="21"/>
                <w14:textFill>
                  <w14:solidFill>
                    <w14:schemeClr w14:val="tx1"/>
                  </w14:solidFill>
                </w14:textFill>
              </w:rPr>
              <w:t>/</w:t>
            </w:r>
            <w:r>
              <w:rPr>
                <w:rFonts w:hint="eastAsia" w:ascii="方正仿宋简体" w:hAnsi="Times New Roman" w:eastAsia="方正仿宋简体" w:cs="方正仿宋简体"/>
                <w:color w:val="000000" w:themeColor="text1"/>
                <w:spacing w:val="-8"/>
                <w:szCs w:val="21"/>
                <w14:textFill>
                  <w14:solidFill>
                    <w14:schemeClr w14:val="tx1"/>
                  </w14:solidFill>
                </w14:textFill>
              </w:rPr>
              <w:t>项。研究工作总得分不超过</w:t>
            </w:r>
            <w:r>
              <w:rPr>
                <w:rFonts w:ascii="方正仿宋简体" w:hAnsi="Times New Roman" w:eastAsia="方正仿宋简体" w:cs="方正仿宋简体"/>
                <w:color w:val="000000" w:themeColor="text1"/>
                <w:spacing w:val="-8"/>
                <w:szCs w:val="21"/>
                <w14:textFill>
                  <w14:solidFill>
                    <w14:schemeClr w14:val="tx1"/>
                  </w14:solidFill>
                </w14:textFill>
              </w:rPr>
              <w:t>3</w:t>
            </w:r>
            <w:r>
              <w:rPr>
                <w:rFonts w:hint="eastAsia" w:ascii="方正仿宋简体" w:hAnsi="Times New Roman" w:eastAsia="方正仿宋简体" w:cs="方正仿宋简体"/>
                <w:color w:val="000000" w:themeColor="text1"/>
                <w:spacing w:val="-8"/>
                <w:szCs w:val="21"/>
                <w14:textFill>
                  <w14:solidFill>
                    <w14:schemeClr w14:val="tx1"/>
                  </w14:solidFill>
                </w14:textFill>
              </w:rPr>
              <w:t>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以学术刊物和立项文件复印件为依据，需提交扫描件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科技创新</w:t>
            </w:r>
          </w:p>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14:textFill>
                  <w14:solidFill>
                    <w14:schemeClr w14:val="tx1"/>
                  </w14:solidFill>
                </w14:textFill>
              </w:rPr>
              <w:t>分）</w:t>
            </w: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“挑战杯”（或“创青春”）竞赛（</w:t>
            </w:r>
            <w:r>
              <w:rPr>
                <w:rFonts w:ascii="宋体" w:hAnsi="宋体" w:eastAsia="宋体" w:cs="宋体"/>
                <w:color w:val="000000" w:themeColor="text1"/>
                <w:szCs w:val="21"/>
                <w14:textFill>
                  <w14:solidFill>
                    <w14:schemeClr w14:val="tx1"/>
                  </w14:solidFill>
                </w14:textFill>
              </w:rPr>
              <w:t>13</w:t>
            </w:r>
            <w:r>
              <w:rPr>
                <w:rFonts w:hint="eastAsia" w:ascii="宋体" w:hAnsi="宋体" w:eastAsia="宋体" w:cs="宋体"/>
                <w:color w:val="000000" w:themeColor="text1"/>
                <w:szCs w:val="21"/>
                <w14:textFill>
                  <w14:solidFill>
                    <w14:schemeClr w14:val="tx1"/>
                  </w14:solidFill>
                </w14:textFill>
              </w:rPr>
              <w:t>分）：培育并推荐优秀学生科技、学术或创业作品参加“挑战杯”（或“创青春”）系列竞赛，配合校团委做好各项赛事组织工作。</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有作品入围校级终审决赛</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7</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作品获得省级终审决赛一等（含特等、金）奖、二等（银）奖、三等（铜）奖分别得</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作品获得全国终审决赛一等（含特等、金）奖、二等（银）奖、三等（铜）奖分别得</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学生科技立项计划（</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分）：扩大学生科技活动参与面，组织学生参与学生科技立项计划，并在团委的指导下做好各项管理工作。</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完成立项指导性计划，未完成指导性计划不得分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结题率达到</w:t>
            </w:r>
            <w:r>
              <w:rPr>
                <w:rFonts w:ascii="宋体" w:hAnsi="宋体" w:eastAsia="宋体" w:cs="宋体"/>
                <w:color w:val="000000" w:themeColor="text1"/>
                <w:szCs w:val="21"/>
                <w14:textFill>
                  <w14:solidFill>
                    <w14:schemeClr w14:val="tx1"/>
                  </w14:solidFill>
                </w14:textFill>
              </w:rPr>
              <w:t>90%</w:t>
            </w:r>
            <w:r>
              <w:rPr>
                <w:rFonts w:hint="eastAsia" w:ascii="宋体" w:hAnsi="宋体" w:eastAsia="宋体" w:cs="宋体"/>
                <w:color w:val="000000" w:themeColor="text1"/>
                <w:szCs w:val="21"/>
                <w14:textFill>
                  <w14:solidFill>
                    <w14:schemeClr w14:val="tx1"/>
                  </w14:solidFill>
                </w14:textFill>
              </w:rPr>
              <w:t>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分，达到</w:t>
            </w:r>
            <w:r>
              <w:rPr>
                <w:rFonts w:ascii="宋体" w:hAnsi="宋体" w:eastAsia="宋体" w:cs="宋体"/>
                <w:color w:val="000000" w:themeColor="text1"/>
                <w:szCs w:val="21"/>
                <w14:textFill>
                  <w14:solidFill>
                    <w14:schemeClr w14:val="tx1"/>
                  </w14:solidFill>
                </w14:textFill>
              </w:rPr>
              <w:t>100%</w:t>
            </w:r>
            <w:r>
              <w:rPr>
                <w:rFonts w:hint="eastAsia" w:ascii="宋体" w:hAnsi="宋体" w:eastAsia="宋体" w:cs="宋体"/>
                <w:color w:val="000000" w:themeColor="text1"/>
                <w:szCs w:val="21"/>
                <w14:textFill>
                  <w14:solidFill>
                    <w14:schemeClr w14:val="tx1"/>
                  </w14:solidFill>
                </w14:textFill>
              </w:rPr>
              <w:t>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分，低于</w:t>
            </w:r>
            <w:r>
              <w:rPr>
                <w:rFonts w:ascii="宋体" w:hAnsi="宋体" w:eastAsia="宋体" w:cs="宋体"/>
                <w:color w:val="000000" w:themeColor="text1"/>
                <w:szCs w:val="21"/>
                <w14:textFill>
                  <w14:solidFill>
                    <w14:schemeClr w14:val="tx1"/>
                  </w14:solidFill>
                </w14:textFill>
              </w:rPr>
              <w:t>90%</w:t>
            </w:r>
            <w:r>
              <w:rPr>
                <w:rFonts w:hint="eastAsia" w:ascii="宋体" w:hAnsi="宋体" w:eastAsia="宋体" w:cs="宋体"/>
                <w:color w:val="000000" w:themeColor="text1"/>
                <w:szCs w:val="21"/>
                <w14:textFill>
                  <w14:solidFill>
                    <w14:schemeClr w14:val="tx1"/>
                  </w14:solidFill>
                </w14:textFill>
              </w:rPr>
              <w:t>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获奖项目占学院立项总数的比例超过全校平均获奖比例，低于全校平均比例不得分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省级以上学术科技创新竞赛（</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分）：指导学生积极参加各专业学科领域的学术科技创新竞赛，并建立健全相应的激励和保障机制。</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学生个人或团队参加省级以上学术科技创新竞赛，获得一（含特等）、二、三等奖分别得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0.8</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0.6</w:t>
            </w:r>
            <w:r>
              <w:rPr>
                <w:rFonts w:hint="eastAsia" w:ascii="宋体" w:hAnsi="宋体" w:eastAsia="宋体" w:cs="宋体"/>
                <w:color w:val="000000" w:themeColor="text1"/>
                <w:szCs w:val="21"/>
                <w14:textFill>
                  <w14:solidFill>
                    <w14:schemeClr w14:val="tx1"/>
                  </w14:solidFill>
                </w14:textFill>
              </w:rPr>
              <w:t>分，但最多不超过</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以获奖证书复印件为依据，需提交证书扫描件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15" w:type="dxa"/>
            <w:vMerge w:val="restart"/>
            <w:vAlign w:val="center"/>
          </w:tcPr>
          <w:p>
            <w:pPr>
              <w:spacing w:line="400" w:lineRule="exact"/>
              <w:jc w:val="both"/>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校园文化</w:t>
            </w:r>
          </w:p>
          <w:p>
            <w:pPr>
              <w:widowControl/>
              <w:jc w:val="both"/>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w:t>
            </w:r>
          </w:p>
        </w:tc>
        <w:tc>
          <w:tcPr>
            <w:tcW w:w="4224" w:type="dxa"/>
            <w:vMerge w:val="restart"/>
            <w:vAlign w:val="center"/>
          </w:tcPr>
          <w:p>
            <w:pPr>
              <w:spacing w:line="400" w:lineRule="exact"/>
              <w:jc w:val="both"/>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参与上级团组织等主办的校园文化活动（</w:t>
            </w:r>
            <w:r>
              <w:rPr>
                <w:rFonts w:hint="eastAsia" w:ascii="宋体" w:hAnsi="宋体" w:eastAsia="宋体" w:cs="宋体"/>
                <w:color w:val="000000" w:themeColor="text1"/>
                <w:szCs w:val="21"/>
                <w:lang w:val="en-US" w:eastAsia="zh-CN"/>
                <w14:textFill>
                  <w14:solidFill>
                    <w14:schemeClr w14:val="tx1"/>
                  </w14:solidFill>
                </w14:textFill>
              </w:rPr>
              <w:t>2分</w:t>
            </w:r>
            <w:r>
              <w:rPr>
                <w:rFonts w:hint="eastAsia" w:ascii="宋体" w:hAnsi="宋体" w:eastAsia="宋体" w:cs="宋体"/>
                <w:color w:val="000000" w:themeColor="text1"/>
                <w:szCs w:val="21"/>
                <w14:textFill>
                  <w14:solidFill>
                    <w14:schemeClr w14:val="tx1"/>
                  </w14:solidFill>
                </w14:textFill>
              </w:rPr>
              <w:t>）：组织学生积极参与校团委主办的各项校园文化活动，并在活动中争先创优。</w:t>
            </w: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在要求以学院为单位参加的由校团委主办（排名第一）的校级文体活动（竞赛）</w:t>
            </w:r>
          </w:p>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中，获得一（含特等）、二、三等奖</w:t>
            </w:r>
            <w:r>
              <w:rPr>
                <w:rFonts w:hint="eastAsia" w:ascii="宋体" w:hAnsi="宋体" w:eastAsia="宋体" w:cs="宋体"/>
                <w:color w:val="000000" w:themeColor="text1"/>
                <w:szCs w:val="21"/>
                <w:lang w:eastAsia="zh-CN"/>
                <w14:textFill>
                  <w14:solidFill>
                    <w14:schemeClr w14:val="tx1"/>
                  </w14:solidFill>
                </w14:textFill>
              </w:rPr>
              <w:t>及优胜奖</w:t>
            </w:r>
            <w:r>
              <w:rPr>
                <w:rFonts w:hint="eastAsia" w:ascii="宋体" w:hAnsi="宋体" w:eastAsia="宋体" w:cs="宋体"/>
                <w:color w:val="000000" w:themeColor="text1"/>
                <w:szCs w:val="21"/>
                <w14:textFill>
                  <w14:solidFill>
                    <w14:schemeClr w14:val="tx1"/>
                  </w14:solidFill>
                </w14:textFill>
              </w:rPr>
              <w:t>分别得</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1.5</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r>
              <w:rPr>
                <w:rFonts w:hint="eastAsia" w:ascii="宋体" w:hAnsi="宋体" w:eastAsia="宋体" w:cs="宋体"/>
                <w:color w:val="000000" w:themeColor="text1"/>
                <w:szCs w:val="21"/>
                <w:lang w:eastAsia="zh-CN"/>
                <w14:textFill>
                  <w14:solidFill>
                    <w14:schemeClr w14:val="tx1"/>
                  </w14:solidFill>
                </w14:textFill>
              </w:rPr>
              <w:t>和</w:t>
            </w:r>
            <w:r>
              <w:rPr>
                <w:rFonts w:hint="eastAsia" w:ascii="宋体" w:hAnsi="宋体" w:eastAsia="宋体" w:cs="宋体"/>
                <w:color w:val="000000" w:themeColor="text1"/>
                <w:szCs w:val="21"/>
                <w:lang w:val="en-US" w:eastAsia="zh-CN"/>
                <w14:textFill>
                  <w14:solidFill>
                    <w14:schemeClr w14:val="tx1"/>
                  </w14:solidFill>
                </w14:textFill>
              </w:rPr>
              <w:t>0.5分</w:t>
            </w:r>
            <w:r>
              <w:rPr>
                <w:rFonts w:hint="eastAsia" w:ascii="宋体" w:hAnsi="宋体" w:eastAsia="宋体" w:cs="宋体"/>
                <w:color w:val="000000" w:themeColor="text1"/>
                <w:szCs w:val="21"/>
                <w14:textFill>
                  <w14:solidFill>
                    <w14:schemeClr w14:val="tx1"/>
                  </w14:solidFill>
                </w14:textFill>
              </w:rPr>
              <w:t>。如当年校团委主办多项该类文体活动（竞赛），则各项活动（竞赛）平均分享以上分值</w:t>
            </w:r>
          </w:p>
        </w:tc>
        <w:tc>
          <w:tcPr>
            <w:tcW w:w="760" w:type="dxa"/>
            <w:textDirection w:val="lrTb"/>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hint="eastAsia" w:ascii="宋体" w:hAnsi="宋体" w:eastAsia="宋体" w:cs="宋体"/>
                <w:color w:val="000000" w:themeColor="text1"/>
                <w:szCs w:val="21"/>
                <w14:textFill>
                  <w14:solidFill>
                    <w14:schemeClr w14:val="tx1"/>
                  </w14:solidFill>
                </w14:textFill>
              </w:rPr>
            </w:pP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学生个人或团体参与团省委、团中央主办，或由校团委负责落实的省级以上其他党政部门主办的文体活动，获得一（含特等）、二、三等奖分别得</w:t>
            </w:r>
            <w:r>
              <w:rPr>
                <w:rFonts w:ascii="宋体" w:hAnsi="宋体" w:eastAsia="宋体" w:cs="宋体"/>
                <w:color w:val="000000" w:themeColor="text1"/>
                <w:szCs w:val="21"/>
                <w14:textFill>
                  <w14:solidFill>
                    <w14:schemeClr w14:val="tx1"/>
                  </w14:solidFill>
                </w14:textFill>
              </w:rPr>
              <w:t>0.5</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0.4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0.3</w:t>
            </w:r>
            <w:r>
              <w:rPr>
                <w:rFonts w:hint="eastAsia" w:ascii="宋体" w:hAnsi="宋体" w:eastAsia="宋体" w:cs="宋体"/>
                <w:color w:val="000000" w:themeColor="text1"/>
                <w:szCs w:val="21"/>
                <w14:textFill>
                  <w14:solidFill>
                    <w14:schemeClr w14:val="tx1"/>
                  </w14:solidFill>
                </w14:textFill>
              </w:rPr>
              <w:t>分，但最多不超过</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760" w:type="dxa"/>
            <w:textDirection w:val="lrTb"/>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以获奖证书复印件为依据，需提交证书扫描件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textDirection w:val="lrTb"/>
            <w:vAlign w:val="center"/>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承办校级校园文化活动（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分）：积极承办团委主办的校园文化活动，积极领办团委布置的专项活动或试点工作。</w:t>
            </w: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学院承办由校团委主办的校园文化活动，效果良好</w:t>
            </w:r>
          </w:p>
        </w:tc>
        <w:tc>
          <w:tcPr>
            <w:tcW w:w="760" w:type="dxa"/>
            <w:textDirection w:val="lrTb"/>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textDirection w:val="lrTb"/>
            <w:vAlign w:val="center"/>
          </w:tcPr>
          <w:p>
            <w:pPr>
              <w:spacing w:line="400" w:lineRule="exac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学院举办校园文化活动（</w:t>
            </w:r>
            <w:r>
              <w:rPr>
                <w:rFonts w:hint="eastAsia" w:ascii="宋体" w:hAnsi="宋体" w:eastAsia="宋体" w:cs="宋体"/>
                <w:color w:val="000000" w:themeColor="text1"/>
                <w:szCs w:val="21"/>
                <w:lang w:val="en-US" w:eastAsia="zh-CN"/>
                <w14:textFill>
                  <w14:solidFill>
                    <w14:schemeClr w14:val="tx1"/>
                  </w14:solidFill>
                </w14:textFill>
              </w:rPr>
              <w:t>4分</w:t>
            </w:r>
            <w:r>
              <w:rPr>
                <w:rFonts w:hint="eastAsia" w:ascii="宋体" w:hAnsi="宋体" w:eastAsia="宋体" w:cs="宋体"/>
                <w:color w:val="000000" w:themeColor="text1"/>
                <w:szCs w:val="21"/>
                <w:lang w:eastAsia="zh-CN"/>
                <w14:textFill>
                  <w14:solidFill>
                    <w14:schemeClr w14:val="tx1"/>
                  </w14:solidFill>
                </w14:textFill>
              </w:rPr>
              <w:t>）：活动体现学院特色，提升学生综合素质与文化素养。</w:t>
            </w:r>
          </w:p>
        </w:tc>
        <w:tc>
          <w:tcPr>
            <w:tcW w:w="7265" w:type="dxa"/>
            <w:textDirection w:val="lrTb"/>
            <w:vAlign w:val="top"/>
          </w:tcPr>
          <w:p>
            <w:pPr>
              <w:spacing w:line="400" w:lineRule="exac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学院举办有特色的校园文化活动（青马培训及思想引领活动除外），每项加</w:t>
            </w:r>
            <w:r>
              <w:rPr>
                <w:rFonts w:hint="eastAsia" w:ascii="宋体" w:hAnsi="宋体" w:eastAsia="宋体" w:cs="宋体"/>
                <w:color w:val="000000" w:themeColor="text1"/>
                <w:szCs w:val="21"/>
                <w:lang w:val="en-US" w:eastAsia="zh-CN"/>
                <w14:textFill>
                  <w14:solidFill>
                    <w14:schemeClr w14:val="tx1"/>
                  </w14:solidFill>
                </w14:textFill>
              </w:rPr>
              <w:t>0.5分，但最多不超过4分</w:t>
            </w:r>
          </w:p>
        </w:tc>
        <w:tc>
          <w:tcPr>
            <w:tcW w:w="760" w:type="dxa"/>
            <w:textDirection w:val="lrTb"/>
            <w:vAlign w:val="center"/>
          </w:tcPr>
          <w:p>
            <w:pPr>
              <w:spacing w:line="4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4分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以网址链接</w:t>
            </w:r>
          </w:p>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为依据，需提交网络截图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社会实践</w:t>
            </w:r>
            <w:r>
              <w:rPr>
                <w:rFonts w:hint="eastAsia" w:ascii="宋体" w:hAnsi="宋体" w:eastAsia="宋体" w:cs="宋体"/>
                <w:color w:val="000000" w:themeColor="text1"/>
                <w:szCs w:val="21"/>
                <w:lang w:eastAsia="zh-CN"/>
                <w14:textFill>
                  <w14:solidFill>
                    <w14:schemeClr w14:val="tx1"/>
                  </w14:solidFill>
                </w14:textFill>
              </w:rPr>
              <w:t>与志愿服务</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23</w:t>
            </w:r>
            <w:r>
              <w:rPr>
                <w:rFonts w:hint="eastAsia" w:ascii="宋体" w:hAnsi="宋体" w:eastAsia="宋体" w:cs="宋体"/>
                <w:color w:val="000000" w:themeColor="text1"/>
                <w:szCs w:val="21"/>
                <w14:textFill>
                  <w14:solidFill>
                    <w14:schemeClr w14:val="tx1"/>
                  </w14:solidFill>
                </w14:textFill>
              </w:rPr>
              <w:t>分）</w:t>
            </w: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暑期“三下乡”社会实践活动（</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分）：积极组队参加暑期“三下乡”社会实践活动，实现社会实践的项目化、基地化和长效化。</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学院组队参加暑期“三下乡”社会实践活动，管理规范，效果良好。根据团队数量、调研成果、宣传推广等实绩数据综合评分。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获得省级及以上优秀团队</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获得省级及以上优秀个人</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建有社会实践基地，签订正式合作共建协议，每年制定社会实践活动方案，活动效果良好，</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个基地得</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个基地及以上得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以共建协议为</w:t>
            </w:r>
            <w:r>
              <w:rPr>
                <w:rFonts w:hint="eastAsia" w:ascii="宋体" w:hAnsi="宋体" w:eastAsia="宋体" w:cs="宋体"/>
                <w:color w:val="000000" w:themeColor="text1"/>
                <w:szCs w:val="21"/>
                <w:lang w:eastAsia="zh-CN"/>
                <w14:textFill>
                  <w14:solidFill>
                    <w14:schemeClr w14:val="tx1"/>
                  </w14:solidFill>
                </w14:textFill>
              </w:rPr>
              <w:t>依据，需提交复印件和协议照片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青年志愿服务活动（</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分）：学院成立青年志愿者组织，利用节假日和课余时间组织青年志愿者开展志愿活动。青年志愿者注册率达到</w:t>
            </w:r>
            <w:r>
              <w:rPr>
                <w:rFonts w:ascii="宋体" w:hAnsi="宋体" w:eastAsia="宋体" w:cs="宋体"/>
                <w:color w:val="000000" w:themeColor="text1"/>
                <w:szCs w:val="21"/>
                <w14:textFill>
                  <w14:solidFill>
                    <w14:schemeClr w14:val="tx1"/>
                  </w14:solidFill>
                </w14:textFill>
              </w:rPr>
              <w:t>80%</w:t>
            </w:r>
            <w:r>
              <w:rPr>
                <w:rFonts w:hint="eastAsia" w:ascii="宋体" w:hAnsi="宋体" w:eastAsia="宋体" w:cs="宋体"/>
                <w:color w:val="000000" w:themeColor="text1"/>
                <w:szCs w:val="21"/>
                <w14:textFill>
                  <w14:solidFill>
                    <w14:schemeClr w14:val="tx1"/>
                  </w14:solidFill>
                </w14:textFill>
              </w:rPr>
              <w:t>。</w:t>
            </w: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成立学院青年志愿者组织，并自愿成为“长沙理工大学青年志愿者联盟”的成员单位，接受其业务指导，积极开展青年志愿服务活动</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学院青年志愿者注册率达到</w:t>
            </w:r>
            <w:r>
              <w:rPr>
                <w:rFonts w:ascii="宋体" w:hAnsi="宋体" w:eastAsia="宋体" w:cs="宋体"/>
                <w:color w:val="000000" w:themeColor="text1"/>
                <w:szCs w:val="21"/>
                <w14:textFill>
                  <w14:solidFill>
                    <w14:schemeClr w14:val="tx1"/>
                  </w14:solidFill>
                </w14:textFill>
              </w:rPr>
              <w:t>80%</w:t>
            </w:r>
            <w:r>
              <w:rPr>
                <w:rFonts w:hint="eastAsia" w:ascii="宋体" w:hAnsi="宋体" w:eastAsia="宋体" w:cs="宋体"/>
                <w:color w:val="000000" w:themeColor="text1"/>
                <w:szCs w:val="21"/>
                <w14:textFill>
                  <w14:solidFill>
                    <w14:schemeClr w14:val="tx1"/>
                  </w14:solidFill>
                </w14:textFill>
              </w:rPr>
              <w:t>。</w:t>
            </w:r>
          </w:p>
        </w:tc>
        <w:tc>
          <w:tcPr>
            <w:tcW w:w="760"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vAlign w:val="center"/>
          </w:tcPr>
          <w:p>
            <w:pPr>
              <w:spacing w:line="400" w:lineRule="exact"/>
              <w:rPr>
                <w:rFonts w:hint="eastAsia" w:ascii="宋体" w:hAnsi="Times New Roman" w:eastAsia="宋体" w:cs="Times New Roman"/>
                <w:color w:val="000000" w:themeColor="text1"/>
                <w:szCs w:val="21"/>
                <w:lang w:eastAsia="zh-CN"/>
                <w14:textFill>
                  <w14:solidFill>
                    <w14:schemeClr w14:val="tx1"/>
                  </w14:solidFill>
                </w14:textFill>
              </w:rPr>
            </w:pPr>
            <w:r>
              <w:rPr>
                <w:rFonts w:hint="eastAsia" w:ascii="宋体" w:hAnsi="Times New Roman" w:eastAsia="宋体" w:cs="Times New Roman"/>
                <w:color w:val="000000" w:themeColor="text1"/>
                <w:szCs w:val="21"/>
                <w:lang w:eastAsia="zh-CN"/>
                <w14:textFill>
                  <w14:solidFill>
                    <w14:schemeClr w14:val="tx1"/>
                  </w14:solidFill>
                </w14:textFill>
              </w:rPr>
              <w:t>青年志愿服务项目大赛（</w:t>
            </w:r>
            <w:r>
              <w:rPr>
                <w:rFonts w:hint="eastAsia" w:ascii="宋体" w:hAnsi="Times New Roman" w:eastAsia="宋体" w:cs="Times New Roman"/>
                <w:color w:val="000000" w:themeColor="text1"/>
                <w:szCs w:val="21"/>
                <w:lang w:val="en-US" w:eastAsia="zh-CN"/>
                <w14:textFill>
                  <w14:solidFill>
                    <w14:schemeClr w14:val="tx1"/>
                  </w14:solidFill>
                </w14:textFill>
              </w:rPr>
              <w:t>8分</w:t>
            </w:r>
            <w:r>
              <w:rPr>
                <w:rFonts w:hint="eastAsia" w:ascii="宋体" w:hAnsi="Times New Roman" w:eastAsia="宋体" w:cs="Times New Roman"/>
                <w:color w:val="000000" w:themeColor="text1"/>
                <w:szCs w:val="21"/>
                <w:lang w:eastAsia="zh-CN"/>
                <w14:textFill>
                  <w14:solidFill>
                    <w14:schemeClr w14:val="tx1"/>
                  </w14:solidFill>
                </w14:textFill>
              </w:rPr>
              <w:t>）</w:t>
            </w: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有作品</w:t>
            </w:r>
            <w:r>
              <w:rPr>
                <w:rFonts w:hint="eastAsia" w:ascii="宋体" w:hAnsi="宋体" w:eastAsia="宋体" w:cs="宋体"/>
                <w:color w:val="000000" w:themeColor="text1"/>
                <w:szCs w:val="21"/>
                <w:lang w:eastAsia="zh-CN"/>
                <w14:textFill>
                  <w14:solidFill>
                    <w14:schemeClr w14:val="tx1"/>
                  </w14:solidFill>
                </w14:textFill>
              </w:rPr>
              <w:t>参加校级展示会</w:t>
            </w:r>
          </w:p>
        </w:tc>
        <w:tc>
          <w:tcPr>
            <w:tcW w:w="760" w:type="dxa"/>
            <w:vAlign w:val="center"/>
          </w:tcPr>
          <w:p>
            <w:pPr>
              <w:spacing w:line="4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作品获得省级决赛金奖、银奖、铜奖分别得</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p>
        </w:tc>
        <w:tc>
          <w:tcPr>
            <w:tcW w:w="760" w:type="dxa"/>
            <w:vAlign w:val="center"/>
          </w:tcPr>
          <w:p>
            <w:pPr>
              <w:spacing w:line="4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作品获得</w:t>
            </w:r>
            <w:r>
              <w:rPr>
                <w:rFonts w:hint="eastAsia" w:ascii="宋体" w:hAnsi="宋体" w:eastAsia="宋体" w:cs="宋体"/>
                <w:color w:val="000000" w:themeColor="text1"/>
                <w:szCs w:val="21"/>
                <w:lang w:eastAsia="zh-CN"/>
                <w14:textFill>
                  <w14:solidFill>
                    <w14:schemeClr w14:val="tx1"/>
                  </w14:solidFill>
                </w14:textFill>
              </w:rPr>
              <w:t>全国</w:t>
            </w:r>
            <w:r>
              <w:rPr>
                <w:rFonts w:hint="eastAsia" w:ascii="宋体" w:hAnsi="宋体" w:eastAsia="宋体" w:cs="宋体"/>
                <w:color w:val="000000" w:themeColor="text1"/>
                <w:szCs w:val="21"/>
                <w14:textFill>
                  <w14:solidFill>
                    <w14:schemeClr w14:val="tx1"/>
                  </w14:solidFill>
                </w14:textFill>
              </w:rPr>
              <w:t>决赛金奖、银奖、铜奖分别得</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项</w:t>
            </w:r>
          </w:p>
        </w:tc>
        <w:tc>
          <w:tcPr>
            <w:tcW w:w="760" w:type="dxa"/>
            <w:vAlign w:val="center"/>
          </w:tcPr>
          <w:p>
            <w:pPr>
              <w:spacing w:line="400" w:lineRule="exact"/>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3分</w:t>
            </w:r>
          </w:p>
        </w:tc>
        <w:tc>
          <w:tcPr>
            <w:tcW w:w="1556" w:type="dxa"/>
            <w:vAlign w:val="center"/>
          </w:tcPr>
          <w:p>
            <w:pPr>
              <w:spacing w:line="40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restart"/>
            <w:textDirection w:val="lrTb"/>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德育实践项目（</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分）：积极培育和申报湖南省大学生德育实践项目，</w:t>
            </w:r>
            <w:r>
              <w:rPr>
                <w:rFonts w:hint="eastAsia" w:ascii="宋体" w:hAnsi="宋体" w:eastAsia="宋体" w:cs="宋体"/>
                <w:color w:val="000000" w:themeColor="text1"/>
                <w:szCs w:val="21"/>
                <w14:textFill>
                  <w14:solidFill>
                    <w14:schemeClr w14:val="tx1"/>
                  </w14:solidFill>
                </w14:textFill>
              </w:rPr>
              <w:t>全国希望工程励志行动项目，</w:t>
            </w:r>
            <w:r>
              <w:rPr>
                <w:rFonts w:hint="eastAsia" w:ascii="宋体" w:hAnsi="宋体" w:eastAsia="宋体" w:cs="宋体"/>
                <w:color w:val="000000" w:themeColor="text1"/>
                <w:szCs w:val="21"/>
                <w14:textFill>
                  <w14:solidFill>
                    <w14:schemeClr w14:val="tx1"/>
                  </w14:solidFill>
                </w14:textFill>
              </w:rPr>
              <w:t>科学制定活动方案，有序实施项目建设，效果良好</w:t>
            </w: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有项目获批立项</w:t>
            </w:r>
          </w:p>
        </w:tc>
        <w:tc>
          <w:tcPr>
            <w:tcW w:w="760" w:type="dxa"/>
            <w:textDirection w:val="lrTb"/>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textDirection w:val="lrTb"/>
            <w:vAlign w:val="top"/>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24" w:type="dxa"/>
            <w:vMerge w:val="continue"/>
            <w:textDirection w:val="lrTb"/>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p>
        </w:tc>
        <w:tc>
          <w:tcPr>
            <w:tcW w:w="7265" w:type="dxa"/>
            <w:textDirection w:val="lrTb"/>
            <w:vAlign w:val="top"/>
          </w:tcPr>
          <w:p>
            <w:pPr>
              <w:spacing w:line="4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获批省级立项的项目有序推进，按期报送各种项目资料，实施效果良好</w:t>
            </w:r>
          </w:p>
        </w:tc>
        <w:tc>
          <w:tcPr>
            <w:tcW w:w="760" w:type="dxa"/>
            <w:textDirection w:val="lrTb"/>
            <w:vAlign w:val="center"/>
          </w:tcPr>
          <w:p>
            <w:pPr>
              <w:spacing w:line="400" w:lineRule="exact"/>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556" w:type="dxa"/>
            <w:textDirection w:val="lrTb"/>
            <w:vAlign w:val="top"/>
          </w:tcPr>
          <w:p>
            <w:pPr>
              <w:spacing w:line="400" w:lineRule="exact"/>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团委打分</w:t>
            </w:r>
          </w:p>
        </w:tc>
      </w:tr>
    </w:tbl>
    <w:tbl>
      <w:tblPr>
        <w:tblStyle w:val="3"/>
        <w:tblpPr w:leftFromText="180" w:rightFromText="180" w:vertAnchor="text" w:horzAnchor="page" w:tblpX="1029" w:tblpY="949"/>
        <w:tblOverlap w:val="never"/>
        <w:tblW w:w="14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4245"/>
        <w:gridCol w:w="7275"/>
        <w:gridCol w:w="73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 w:type="dxa"/>
            <w:vMerge w:val="restart"/>
            <w:vAlign w:val="center"/>
          </w:tcPr>
          <w:p>
            <w:pPr>
              <w:widowControl/>
              <w:jc w:val="lef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加分指标</w:t>
            </w:r>
          </w:p>
        </w:tc>
        <w:tc>
          <w:tcPr>
            <w:tcW w:w="4245" w:type="dxa"/>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媒体宣传</w:t>
            </w:r>
          </w:p>
        </w:tc>
        <w:tc>
          <w:tcPr>
            <w:tcW w:w="727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在国家级媒体、全团及学校战线主要信息宣传渠道（主要含：人民日报、光明日报、中国教育报、全团要讯、共青团学校工作简报、中国青年报等纸媒和中央电视台）发表新闻报道或理论文章，每篇（条）加</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分，在团中央官网、中国青年网等国家级党政机关主办的综合网站发表新闻报道，每篇（条）加</w:t>
            </w:r>
            <w:r>
              <w:rPr>
                <w:rFonts w:ascii="宋体" w:hAnsi="宋体" w:eastAsia="宋体" w:cs="宋体"/>
                <w:color w:val="000000" w:themeColor="text1"/>
                <w:szCs w:val="21"/>
                <w14:textFill>
                  <w14:solidFill>
                    <w14:schemeClr w14:val="tx1"/>
                  </w14:solidFill>
                </w14:textFill>
              </w:rPr>
              <w:t>1.5</w:t>
            </w:r>
            <w:r>
              <w:rPr>
                <w:rFonts w:hint="eastAsia" w:ascii="宋体" w:hAnsi="宋体" w:eastAsia="宋体" w:cs="宋体"/>
                <w:color w:val="000000" w:themeColor="text1"/>
                <w:szCs w:val="21"/>
                <w14:textFill>
                  <w14:solidFill>
                    <w14:schemeClr w14:val="tx1"/>
                  </w14:solidFill>
                </w14:textFill>
              </w:rPr>
              <w:t>分。媒体宣传最高加分不超过</w:t>
            </w:r>
            <w:r>
              <w:rPr>
                <w:rFonts w:ascii="宋体" w:hAnsi="宋体" w:eastAsia="宋体" w:cs="宋体"/>
                <w:color w:val="000000" w:themeColor="text1"/>
                <w:szCs w:val="21"/>
                <w14:textFill>
                  <w14:solidFill>
                    <w14:schemeClr w14:val="tx1"/>
                  </w14:solidFill>
                </w14:textFill>
              </w:rPr>
              <w:t>6</w:t>
            </w:r>
            <w:r>
              <w:rPr>
                <w:rFonts w:hint="eastAsia" w:ascii="宋体" w:hAnsi="宋体" w:eastAsia="宋体" w:cs="宋体"/>
                <w:color w:val="000000" w:themeColor="text1"/>
                <w:szCs w:val="21"/>
                <w14:textFill>
                  <w14:solidFill>
                    <w14:schemeClr w14:val="tx1"/>
                  </w14:solidFill>
                </w14:textFill>
              </w:rPr>
              <w:t>分。</w:t>
            </w:r>
          </w:p>
        </w:tc>
        <w:tc>
          <w:tcPr>
            <w:tcW w:w="735"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p>
        </w:tc>
        <w:tc>
          <w:tcPr>
            <w:tcW w:w="1575" w:type="dxa"/>
            <w:vAlign w:val="center"/>
          </w:tcPr>
          <w:p>
            <w:pPr>
              <w:spacing w:line="400" w:lineRule="exact"/>
              <w:jc w:val="center"/>
              <w:rPr>
                <w:rFonts w:hint="eastAsia" w:ascii="宋体" w:hAnsi="Times New Roman" w:eastAsia="宋体" w:cs="Times New Roman"/>
                <w:color w:val="000000" w:themeColor="text1"/>
                <w:szCs w:val="21"/>
                <w:lang w:eastAsia="zh-CN"/>
                <w14:textFill>
                  <w14:solidFill>
                    <w14:schemeClr w14:val="tx1"/>
                  </w14:solidFill>
                </w14:textFill>
              </w:rPr>
            </w:pPr>
            <w:r>
              <w:rPr>
                <w:rFonts w:hint="eastAsia" w:ascii="宋体" w:hAnsi="Times New Roman" w:eastAsia="宋体" w:cs="Times New Roman"/>
                <w:color w:val="000000" w:themeColor="text1"/>
                <w:szCs w:val="21"/>
                <w:lang w:eastAsia="zh-CN"/>
                <w14:textFill>
                  <w14:solidFill>
                    <w14:schemeClr w14:val="tx1"/>
                  </w14:solidFill>
                </w14:textFill>
              </w:rPr>
              <w:t>以网址链接为依据，网媒需提交网络截图，纸媒需提交复印件及扫描件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 w:type="dxa"/>
            <w:vMerge w:val="continue"/>
            <w:vAlign w:val="center"/>
          </w:tcPr>
          <w:p>
            <w:pPr>
              <w:widowControl/>
              <w:jc w:val="left"/>
              <w:rPr>
                <w:rFonts w:ascii="宋体" w:hAnsi="Times New Roman" w:eastAsia="宋体" w:cs="Times New Roman"/>
                <w:color w:val="000000" w:themeColor="text1"/>
                <w:szCs w:val="21"/>
                <w14:textFill>
                  <w14:solidFill>
                    <w14:schemeClr w14:val="tx1"/>
                  </w14:solidFill>
                </w14:textFill>
              </w:rPr>
            </w:pPr>
          </w:p>
        </w:tc>
        <w:tc>
          <w:tcPr>
            <w:tcW w:w="4245" w:type="dxa"/>
            <w:vAlign w:val="center"/>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创新</w:t>
            </w:r>
            <w:r>
              <w:rPr>
                <w:rFonts w:hint="eastAsia" w:ascii="宋体" w:hAnsi="宋体" w:eastAsia="宋体" w:cs="宋体"/>
                <w:color w:val="000000" w:themeColor="text1"/>
                <w:szCs w:val="21"/>
                <w:lang w:eastAsia="zh-CN"/>
                <w14:textFill>
                  <w14:solidFill>
                    <w14:schemeClr w14:val="tx1"/>
                  </w14:solidFill>
                </w14:textFill>
              </w:rPr>
              <w:t>性工作</w:t>
            </w:r>
          </w:p>
        </w:tc>
        <w:tc>
          <w:tcPr>
            <w:tcW w:w="7275" w:type="dxa"/>
          </w:tcPr>
          <w:p>
            <w:pPr>
              <w:spacing w:line="400" w:lineRule="exact"/>
              <w:rPr>
                <w:rFonts w:ascii="宋体" w:hAnsi="Times New Roman" w:eastAsia="宋体" w:cs="Times New Roman"/>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学院共青团工作有创新，且</w:t>
            </w:r>
            <w:r>
              <w:rPr>
                <w:rFonts w:hint="eastAsia" w:ascii="宋体" w:hAnsi="宋体" w:eastAsia="宋体" w:cs="宋体"/>
                <w:color w:val="000000" w:themeColor="text1"/>
                <w:szCs w:val="21"/>
                <w14:textFill>
                  <w14:solidFill>
                    <w14:schemeClr w14:val="tx1"/>
                  </w14:solidFill>
                </w14:textFill>
              </w:rPr>
              <w:t>有</w:t>
            </w:r>
            <w:r>
              <w:rPr>
                <w:rFonts w:hint="eastAsia" w:ascii="宋体" w:hAnsi="宋体" w:eastAsia="宋体" w:cs="宋体"/>
                <w:color w:val="000000" w:themeColor="text1"/>
                <w:szCs w:val="21"/>
                <w:lang w:eastAsia="zh-CN"/>
                <w14:textFill>
                  <w14:solidFill>
                    <w14:schemeClr w14:val="tx1"/>
                  </w14:solidFill>
                </w14:textFill>
              </w:rPr>
              <w:t>借鉴意义，</w:t>
            </w:r>
            <w:r>
              <w:rPr>
                <w:rFonts w:hint="eastAsia" w:ascii="宋体" w:hAnsi="宋体" w:eastAsia="宋体" w:cs="宋体"/>
                <w:color w:val="000000" w:themeColor="text1"/>
                <w:szCs w:val="21"/>
                <w14:textFill>
                  <w14:solidFill>
                    <w14:schemeClr w14:val="tx1"/>
                  </w14:solidFill>
                </w14:textFill>
              </w:rPr>
              <w:t>可供全校推广，</w:t>
            </w:r>
            <w:r>
              <w:rPr>
                <w:rFonts w:hint="eastAsia" w:ascii="宋体" w:hAnsi="宋体" w:eastAsia="宋体" w:cs="宋体"/>
                <w:color w:val="000000" w:themeColor="text1"/>
                <w:szCs w:val="21"/>
                <w:lang w:eastAsia="zh-CN"/>
                <w14:textFill>
                  <w14:solidFill>
                    <w14:schemeClr w14:val="tx1"/>
                  </w14:solidFill>
                </w14:textFill>
              </w:rPr>
              <w:t>最高分不超过</w:t>
            </w:r>
            <w:r>
              <w:rPr>
                <w:rFonts w:hint="eastAsia" w:ascii="宋体" w:hAnsi="宋体" w:eastAsia="宋体" w:cs="宋体"/>
                <w:color w:val="000000" w:themeColor="text1"/>
                <w:szCs w:val="21"/>
                <w:lang w:val="en-US" w:eastAsia="zh-CN"/>
                <w14:textFill>
                  <w14:solidFill>
                    <w14:schemeClr w14:val="tx1"/>
                  </w14:solidFill>
                </w14:textFill>
              </w:rPr>
              <w:t>10分</w:t>
            </w:r>
          </w:p>
        </w:tc>
        <w:tc>
          <w:tcPr>
            <w:tcW w:w="735" w:type="dxa"/>
            <w:vAlign w:val="center"/>
          </w:tcPr>
          <w:p>
            <w:pPr>
              <w:spacing w:line="400" w:lineRule="exact"/>
              <w:jc w:val="center"/>
              <w:rPr>
                <w:rFonts w:ascii="宋体" w:hAnsi="Times New Roman" w:eastAsia="宋体" w:cs="Times New Roman"/>
                <w:color w:val="000000" w:themeColor="text1"/>
                <w:szCs w:val="21"/>
                <w14:textFill>
                  <w14:solidFill>
                    <w14:schemeClr w14:val="tx1"/>
                  </w14:solidFill>
                </w14:textFill>
              </w:rPr>
            </w:pPr>
          </w:p>
        </w:tc>
        <w:tc>
          <w:tcPr>
            <w:tcW w:w="1575" w:type="dxa"/>
            <w:vAlign w:val="center"/>
          </w:tcPr>
          <w:p>
            <w:pPr>
              <w:spacing w:line="400" w:lineRule="exact"/>
              <w:jc w:val="center"/>
              <w:rPr>
                <w:rFonts w:hint="eastAsia" w:ascii="宋体" w:hAnsi="Times New Roman" w:eastAsia="宋体" w:cs="Times New Roman"/>
                <w:color w:val="000000" w:themeColor="text1"/>
                <w:szCs w:val="21"/>
                <w:lang w:eastAsia="zh-CN"/>
                <w14:textFill>
                  <w14:solidFill>
                    <w14:schemeClr w14:val="tx1"/>
                  </w14:solidFill>
                </w14:textFill>
              </w:rPr>
            </w:pPr>
            <w:r>
              <w:rPr>
                <w:rFonts w:hint="eastAsia" w:ascii="宋体" w:hAnsi="Times New Roman" w:eastAsia="宋体" w:cs="Times New Roman"/>
                <w:color w:val="000000" w:themeColor="text1"/>
                <w:szCs w:val="21"/>
                <w:lang w:eastAsia="zh-CN"/>
                <w14:textFill>
                  <w14:solidFill>
                    <w14:schemeClr w14:val="tx1"/>
                  </w14:solidFill>
                </w14:textFill>
              </w:rPr>
              <w:t>团委打分</w:t>
            </w:r>
          </w:p>
        </w:tc>
      </w:tr>
    </w:tbl>
    <w:p>
      <w:pPr>
        <w:rPr>
          <w:color w:val="000000" w:themeColor="text1"/>
          <w14:textFill>
            <w14:solidFill>
              <w14:schemeClr w14:val="tx1"/>
            </w14:solidFill>
          </w14:textFill>
        </w:rPr>
      </w:pPr>
    </w:p>
    <w:sectPr>
      <w:pgSz w:w="16838" w:h="11906" w:orient="landscape"/>
      <w:pgMar w:top="1797" w:right="1440" w:bottom="179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440"/>
    <w:rsid w:val="001D2440"/>
    <w:rsid w:val="00941A37"/>
    <w:rsid w:val="05315789"/>
    <w:rsid w:val="15C4711F"/>
    <w:rsid w:val="221E4F37"/>
    <w:rsid w:val="27431B61"/>
    <w:rsid w:val="2D3B10BC"/>
    <w:rsid w:val="406F4948"/>
    <w:rsid w:val="410258A4"/>
    <w:rsid w:val="5FF93D05"/>
    <w:rsid w:val="777B5297"/>
    <w:rsid w:val="7E67428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555</Words>
  <Characters>3167</Characters>
  <Lines>26</Lines>
  <Paragraphs>7</Paragraphs>
  <ScaleCrop>false</ScaleCrop>
  <LinksUpToDate>false</LinksUpToDate>
  <CharactersWithSpaces>3715</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2016-08-26T04:24:00Z</dcterms:created>
  <dc:creator>liuren</dc:creator>
  <cp:lastModifiedBy>lily</cp:lastModifiedBy>
  <cp:lastPrinted>2016-12-22T09:34:00Z</cp:lastPrinted>
  <dcterms:modified xsi:type="dcterms:W3CDTF">2016-12-22T12:54:03Z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