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ascii="宋体" w:hAnsi="宋体" w:eastAsia="宋体" w:cs="Times New Roman"/>
          <w:color w:val="000000"/>
          <w:kern w:val="0"/>
          <w:sz w:val="28"/>
          <w:szCs w:val="28"/>
        </w:rPr>
      </w:pPr>
      <w:r>
        <w:rPr>
          <w:rFonts w:hint="eastAsia" w:ascii="仿宋" w:hAnsi="仿宋" w:eastAsia="仿宋" w:cs="仿宋"/>
          <w:color w:val="000000"/>
          <w:kern w:val="0"/>
          <w:sz w:val="32"/>
          <w:szCs w:val="32"/>
        </w:rPr>
        <w:t>附件1：</w:t>
      </w:r>
    </w:p>
    <w:p>
      <w:pPr>
        <w:widowControl/>
        <w:tabs>
          <w:tab w:val="right" w:pos="7752"/>
        </w:tabs>
        <w:spacing w:line="48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《大学生职业发展与就业指导》精品课程建设</w:t>
      </w:r>
    </w:p>
    <w:p>
      <w:pPr>
        <w:widowControl/>
        <w:tabs>
          <w:tab w:val="right" w:pos="7752"/>
        </w:tabs>
        <w:spacing w:line="48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培育项目专题申报指南</w:t>
      </w:r>
    </w:p>
    <w:p>
      <w:pPr>
        <w:widowControl/>
        <w:tabs>
          <w:tab w:val="right" w:pos="7752"/>
        </w:tabs>
        <w:spacing w:line="480" w:lineRule="exact"/>
        <w:rPr>
          <w:rFonts w:ascii="方正小标宋简体" w:hAnsi="方正小标宋简体" w:eastAsia="方正小标宋简体" w:cs="方正小标宋简体"/>
          <w:color w:val="000000"/>
          <w:kern w:val="0"/>
          <w:sz w:val="36"/>
          <w:szCs w:val="36"/>
        </w:rPr>
      </w:pPr>
    </w:p>
    <w:p>
      <w:pPr>
        <w:widowControl/>
        <w:tabs>
          <w:tab w:val="right" w:pos="7752"/>
        </w:tabs>
        <w:spacing w:line="480" w:lineRule="exact"/>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专题一：生涯意识唤醒（6学时）</w:t>
      </w:r>
    </w:p>
    <w:p>
      <w:pPr>
        <w:widowControl/>
        <w:tabs>
          <w:tab w:val="right" w:pos="7752"/>
        </w:tabs>
        <w:spacing w:line="480" w:lineRule="exact"/>
        <w:rPr>
          <w:rFonts w:ascii="仿宋" w:hAnsi="仿宋" w:eastAsia="仿宋" w:cs="仿宋"/>
          <w:b/>
          <w:bCs/>
          <w:color w:val="0C0C0C" w:themeColor="text1" w:themeTint="F2"/>
          <w:kern w:val="0"/>
          <w:sz w:val="28"/>
          <w:szCs w:val="28"/>
        </w:rPr>
      </w:pPr>
      <w:r>
        <w:rPr>
          <w:rFonts w:hint="eastAsia" w:ascii="仿宋" w:hAnsi="仿宋" w:eastAsia="仿宋" w:cs="仿宋"/>
          <w:b/>
          <w:bCs/>
          <w:color w:val="0C0C0C" w:themeColor="text1" w:themeTint="F2"/>
          <w:kern w:val="0"/>
          <w:sz w:val="28"/>
          <w:szCs w:val="28"/>
        </w:rPr>
        <w:t>开课形式：</w:t>
      </w:r>
      <w:r>
        <w:rPr>
          <w:rFonts w:hint="eastAsia" w:ascii="仿宋" w:hAnsi="仿宋" w:eastAsia="仿宋" w:cs="仿宋"/>
          <w:color w:val="0C0C0C" w:themeColor="text1" w:themeTint="F2"/>
          <w:kern w:val="0"/>
          <w:sz w:val="28"/>
          <w:szCs w:val="28"/>
        </w:rPr>
        <w:t>必选+自选+其他</w:t>
      </w:r>
    </w:p>
    <w:p>
      <w:pPr>
        <w:widowControl/>
        <w:tabs>
          <w:tab w:val="right" w:pos="7752"/>
        </w:tabs>
        <w:spacing w:line="480" w:lineRule="exact"/>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授课阶段：</w:t>
      </w:r>
      <w:r>
        <w:rPr>
          <w:rFonts w:hint="eastAsia" w:ascii="仿宋" w:hAnsi="仿宋" w:eastAsia="仿宋" w:cs="仿宋"/>
          <w:color w:val="000000"/>
          <w:kern w:val="0"/>
          <w:sz w:val="28"/>
          <w:szCs w:val="28"/>
        </w:rPr>
        <w:t>大学一年级上学期</w:t>
      </w:r>
    </w:p>
    <w:p>
      <w:pPr>
        <w:widowControl/>
        <w:tabs>
          <w:tab w:val="right" w:pos="7752"/>
        </w:tabs>
        <w:spacing w:line="480" w:lineRule="exact"/>
        <w:rPr>
          <w:rFonts w:ascii="方正小标宋简体" w:hAnsi="方正小标宋简体" w:eastAsia="方正小标宋简体" w:cs="方正小标宋简体"/>
          <w:color w:val="000000"/>
          <w:kern w:val="0"/>
          <w:sz w:val="28"/>
          <w:szCs w:val="28"/>
        </w:rPr>
      </w:pPr>
      <w:r>
        <w:rPr>
          <w:rFonts w:hint="eastAsia" w:ascii="仿宋" w:hAnsi="仿宋" w:eastAsia="仿宋" w:cs="仿宋"/>
          <w:b/>
          <w:bCs/>
          <w:color w:val="000000"/>
          <w:kern w:val="0"/>
          <w:sz w:val="28"/>
          <w:szCs w:val="28"/>
        </w:rPr>
        <w:t>教学内容：</w:t>
      </w:r>
      <w:r>
        <w:rPr>
          <w:rFonts w:hint="eastAsia" w:ascii="仿宋" w:hAnsi="仿宋" w:eastAsia="仿宋" w:cs="仿宋"/>
          <w:color w:val="000000"/>
          <w:kern w:val="0"/>
          <w:sz w:val="28"/>
          <w:szCs w:val="28"/>
        </w:rPr>
        <w:t>职业性格、职业兴趣、可迁移技能与职业能力、职业价值观、职业环境探索、家国情怀培养等。</w:t>
      </w:r>
    </w:p>
    <w:p>
      <w:pPr>
        <w:widowControl/>
        <w:tabs>
          <w:tab w:val="right" w:pos="7752"/>
        </w:tabs>
        <w:spacing w:line="480" w:lineRule="exact"/>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专题二：生涯探索与定向（6学时）</w:t>
      </w:r>
    </w:p>
    <w:p>
      <w:pPr>
        <w:widowControl/>
        <w:tabs>
          <w:tab w:val="right" w:pos="7752"/>
        </w:tabs>
        <w:spacing w:line="480" w:lineRule="exact"/>
        <w:rPr>
          <w:rFonts w:ascii="仿宋" w:hAnsi="仿宋" w:eastAsia="仿宋" w:cs="仿宋"/>
          <w:b/>
          <w:bCs/>
          <w:color w:val="0C0C0C" w:themeColor="text1" w:themeTint="F2"/>
          <w:kern w:val="0"/>
          <w:sz w:val="28"/>
          <w:szCs w:val="28"/>
        </w:rPr>
      </w:pPr>
      <w:r>
        <w:rPr>
          <w:rFonts w:hint="eastAsia" w:ascii="仿宋" w:hAnsi="仿宋" w:eastAsia="仿宋" w:cs="仿宋"/>
          <w:b/>
          <w:bCs/>
          <w:color w:val="0C0C0C" w:themeColor="text1" w:themeTint="F2"/>
          <w:kern w:val="0"/>
          <w:sz w:val="28"/>
          <w:szCs w:val="28"/>
        </w:rPr>
        <w:t>开课形式：</w:t>
      </w:r>
      <w:r>
        <w:rPr>
          <w:rFonts w:hint="eastAsia" w:ascii="仿宋" w:hAnsi="仿宋" w:eastAsia="仿宋" w:cs="仿宋"/>
          <w:color w:val="0C0C0C" w:themeColor="text1" w:themeTint="F2"/>
          <w:kern w:val="0"/>
          <w:sz w:val="28"/>
          <w:szCs w:val="28"/>
        </w:rPr>
        <w:t>必选+自选+其他</w:t>
      </w:r>
    </w:p>
    <w:p>
      <w:pPr>
        <w:widowControl/>
        <w:tabs>
          <w:tab w:val="right" w:pos="7752"/>
        </w:tabs>
        <w:spacing w:line="480" w:lineRule="exac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授课阶段：</w:t>
      </w:r>
      <w:r>
        <w:rPr>
          <w:rFonts w:hint="eastAsia" w:ascii="仿宋" w:hAnsi="仿宋" w:eastAsia="仿宋" w:cs="仿宋"/>
          <w:color w:val="000000"/>
          <w:kern w:val="0"/>
          <w:sz w:val="28"/>
          <w:szCs w:val="28"/>
        </w:rPr>
        <w:t>大学一年级下学期</w:t>
      </w:r>
    </w:p>
    <w:p>
      <w:pPr>
        <w:widowControl/>
        <w:tabs>
          <w:tab w:val="right" w:pos="7752"/>
        </w:tabs>
        <w:spacing w:line="480" w:lineRule="exact"/>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教学内容：</w:t>
      </w:r>
      <w:r>
        <w:rPr>
          <w:rFonts w:hint="eastAsia" w:ascii="仿宋" w:hAnsi="仿宋" w:eastAsia="仿宋" w:cs="仿宋"/>
          <w:color w:val="000000"/>
          <w:kern w:val="0"/>
          <w:sz w:val="28"/>
          <w:szCs w:val="28"/>
        </w:rPr>
        <w:t>基层就业意识培养、“三重”领域就业意识培养、职业生涯规划设计与行动方案等。</w:t>
      </w:r>
    </w:p>
    <w:p>
      <w:pPr>
        <w:widowControl/>
        <w:tabs>
          <w:tab w:val="right" w:pos="7752"/>
        </w:tabs>
        <w:spacing w:line="480" w:lineRule="exact"/>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专题三：职业素养提升1（6学时）</w:t>
      </w:r>
    </w:p>
    <w:p>
      <w:pPr>
        <w:widowControl/>
        <w:tabs>
          <w:tab w:val="right" w:pos="7752"/>
        </w:tabs>
        <w:spacing w:line="480" w:lineRule="exact"/>
        <w:rPr>
          <w:rFonts w:ascii="仿宋" w:hAnsi="仿宋" w:eastAsia="仿宋" w:cs="仿宋"/>
          <w:color w:val="0C0C0C" w:themeColor="text1" w:themeTint="F2"/>
          <w:kern w:val="0"/>
          <w:sz w:val="28"/>
          <w:szCs w:val="28"/>
        </w:rPr>
      </w:pPr>
      <w:r>
        <w:rPr>
          <w:rFonts w:hint="eastAsia" w:ascii="仿宋" w:hAnsi="仿宋" w:eastAsia="仿宋" w:cs="仿宋"/>
          <w:b/>
          <w:bCs/>
          <w:color w:val="0C0C0C" w:themeColor="text1" w:themeTint="F2"/>
          <w:kern w:val="0"/>
          <w:sz w:val="28"/>
          <w:szCs w:val="28"/>
        </w:rPr>
        <w:t>开课形式：</w:t>
      </w:r>
      <w:r>
        <w:rPr>
          <w:rFonts w:hint="eastAsia" w:ascii="仿宋" w:hAnsi="仿宋" w:eastAsia="仿宋" w:cs="仿宋"/>
          <w:color w:val="0C0C0C" w:themeColor="text1" w:themeTint="F2"/>
          <w:kern w:val="0"/>
          <w:sz w:val="28"/>
          <w:szCs w:val="28"/>
        </w:rPr>
        <w:t>自选</w:t>
      </w:r>
    </w:p>
    <w:p>
      <w:pPr>
        <w:widowControl/>
        <w:tabs>
          <w:tab w:val="right" w:pos="7752"/>
        </w:tabs>
        <w:spacing w:line="480" w:lineRule="exact"/>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授课阶段：</w:t>
      </w:r>
      <w:r>
        <w:rPr>
          <w:rFonts w:hint="eastAsia" w:ascii="仿宋" w:hAnsi="仿宋" w:eastAsia="仿宋" w:cs="仿宋"/>
          <w:color w:val="000000"/>
          <w:kern w:val="0"/>
          <w:sz w:val="28"/>
          <w:szCs w:val="28"/>
        </w:rPr>
        <w:t>大学二年级上学期</w:t>
      </w:r>
    </w:p>
    <w:p>
      <w:pPr>
        <w:widowControl/>
        <w:tabs>
          <w:tab w:val="right" w:pos="7752"/>
        </w:tabs>
        <w:spacing w:line="480" w:lineRule="exact"/>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教学内容：</w:t>
      </w:r>
      <w:r>
        <w:rPr>
          <w:rFonts w:hint="eastAsia" w:ascii="仿宋" w:hAnsi="仿宋" w:eastAsia="仿宋" w:cs="仿宋"/>
          <w:color w:val="000000"/>
          <w:kern w:val="0"/>
          <w:sz w:val="28"/>
          <w:szCs w:val="28"/>
        </w:rPr>
        <w:t>人际交往能力、团队合作能力、表达与沟通能力、计划与时间管理能力等。</w:t>
      </w:r>
    </w:p>
    <w:p>
      <w:pPr>
        <w:widowControl/>
        <w:tabs>
          <w:tab w:val="right" w:pos="7752"/>
        </w:tabs>
        <w:spacing w:line="480" w:lineRule="exact"/>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专题四：职业素养提升2（6学时）</w:t>
      </w:r>
    </w:p>
    <w:p>
      <w:pPr>
        <w:widowControl/>
        <w:tabs>
          <w:tab w:val="right" w:pos="7752"/>
        </w:tabs>
        <w:spacing w:line="480" w:lineRule="exact"/>
        <w:rPr>
          <w:rFonts w:ascii="仿宋" w:hAnsi="仿宋" w:eastAsia="仿宋" w:cs="仿宋"/>
          <w:color w:val="0C0C0C" w:themeColor="text1" w:themeTint="F2"/>
          <w:kern w:val="0"/>
          <w:sz w:val="28"/>
          <w:szCs w:val="28"/>
        </w:rPr>
      </w:pPr>
      <w:r>
        <w:rPr>
          <w:rFonts w:hint="eastAsia" w:ascii="仿宋" w:hAnsi="仿宋" w:eastAsia="仿宋" w:cs="仿宋"/>
          <w:b/>
          <w:bCs/>
          <w:color w:val="0C0C0C" w:themeColor="text1" w:themeTint="F2"/>
          <w:kern w:val="0"/>
          <w:sz w:val="28"/>
          <w:szCs w:val="28"/>
        </w:rPr>
        <w:t>课程形式：</w:t>
      </w:r>
      <w:r>
        <w:rPr>
          <w:rFonts w:hint="eastAsia" w:ascii="仿宋" w:hAnsi="仿宋" w:eastAsia="仿宋" w:cs="仿宋"/>
          <w:color w:val="0C0C0C" w:themeColor="text1" w:themeTint="F2"/>
          <w:kern w:val="0"/>
          <w:sz w:val="28"/>
          <w:szCs w:val="28"/>
        </w:rPr>
        <w:t>自选</w:t>
      </w:r>
    </w:p>
    <w:p>
      <w:pPr>
        <w:widowControl/>
        <w:tabs>
          <w:tab w:val="right" w:pos="7752"/>
        </w:tabs>
        <w:spacing w:line="480" w:lineRule="exact"/>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授课阶段：</w:t>
      </w:r>
      <w:r>
        <w:rPr>
          <w:rFonts w:hint="eastAsia" w:ascii="仿宋" w:hAnsi="仿宋" w:eastAsia="仿宋" w:cs="仿宋"/>
          <w:color w:val="000000"/>
          <w:kern w:val="0"/>
          <w:sz w:val="28"/>
          <w:szCs w:val="28"/>
        </w:rPr>
        <w:t>大学二年级下学期</w:t>
      </w:r>
    </w:p>
    <w:p>
      <w:pPr>
        <w:widowControl/>
        <w:tabs>
          <w:tab w:val="right" w:pos="7752"/>
        </w:tabs>
        <w:spacing w:line="480" w:lineRule="exact"/>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教学内容：</w:t>
      </w:r>
      <w:r>
        <w:rPr>
          <w:rFonts w:hint="eastAsia" w:ascii="仿宋" w:hAnsi="仿宋" w:eastAsia="仿宋" w:cs="仿宋"/>
          <w:color w:val="000000"/>
          <w:kern w:val="0"/>
          <w:sz w:val="28"/>
          <w:szCs w:val="28"/>
        </w:rPr>
        <w:t>执行力、创新能力、项目策划能力、思维力、领导力等。</w:t>
      </w:r>
    </w:p>
    <w:p>
      <w:pPr>
        <w:widowControl/>
        <w:tabs>
          <w:tab w:val="right" w:pos="7752"/>
        </w:tabs>
        <w:spacing w:line="480" w:lineRule="exact"/>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专题五：就业能力提升1（6学时）</w:t>
      </w:r>
    </w:p>
    <w:p>
      <w:pPr>
        <w:widowControl/>
        <w:tabs>
          <w:tab w:val="right" w:pos="7752"/>
        </w:tabs>
        <w:spacing w:line="480" w:lineRule="exact"/>
        <w:rPr>
          <w:rFonts w:ascii="仿宋" w:hAnsi="仿宋" w:eastAsia="仿宋" w:cs="仿宋"/>
          <w:color w:val="000000"/>
          <w:kern w:val="0"/>
          <w:sz w:val="28"/>
          <w:szCs w:val="28"/>
        </w:rPr>
      </w:pPr>
      <w:r>
        <w:rPr>
          <w:rFonts w:hint="eastAsia" w:ascii="仿宋" w:hAnsi="仿宋" w:eastAsia="仿宋" w:cs="仿宋"/>
          <w:b/>
          <w:bCs/>
          <w:color w:val="0C0C0C" w:themeColor="text1" w:themeTint="F2"/>
          <w:kern w:val="0"/>
          <w:sz w:val="28"/>
          <w:szCs w:val="28"/>
        </w:rPr>
        <w:t>开课形式：</w:t>
      </w:r>
      <w:r>
        <w:rPr>
          <w:rFonts w:hint="eastAsia" w:ascii="仿宋" w:hAnsi="仿宋" w:eastAsia="仿宋" w:cs="仿宋"/>
          <w:color w:val="000000"/>
          <w:kern w:val="0"/>
          <w:sz w:val="28"/>
          <w:szCs w:val="28"/>
        </w:rPr>
        <w:t>必选+自选+其他</w:t>
      </w:r>
    </w:p>
    <w:p>
      <w:pPr>
        <w:widowControl/>
        <w:tabs>
          <w:tab w:val="right" w:pos="7752"/>
        </w:tabs>
        <w:spacing w:line="480" w:lineRule="exact"/>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授课阶段：</w:t>
      </w:r>
      <w:r>
        <w:rPr>
          <w:rFonts w:hint="eastAsia" w:ascii="仿宋" w:hAnsi="仿宋" w:eastAsia="仿宋" w:cs="仿宋"/>
          <w:color w:val="000000"/>
          <w:kern w:val="0"/>
          <w:sz w:val="28"/>
          <w:szCs w:val="28"/>
        </w:rPr>
        <w:t>大学三年级上学期</w:t>
      </w:r>
    </w:p>
    <w:p>
      <w:pPr>
        <w:widowControl/>
        <w:spacing w:line="480" w:lineRule="exact"/>
        <w:jc w:val="left"/>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教学内容：</w:t>
      </w:r>
      <w:r>
        <w:rPr>
          <w:rFonts w:hint="eastAsia" w:ascii="仿宋" w:hAnsi="仿宋" w:eastAsia="仿宋" w:cs="仿宋"/>
          <w:color w:val="000000"/>
          <w:kern w:val="0"/>
          <w:sz w:val="28"/>
          <w:szCs w:val="28"/>
        </w:rPr>
        <w:t>就业形势与政策、就业信息收集、求职技巧（简历+面试）、基层就业、国际组织就业等。</w:t>
      </w:r>
    </w:p>
    <w:p>
      <w:pPr>
        <w:widowControl/>
        <w:tabs>
          <w:tab w:val="right" w:pos="7752"/>
        </w:tabs>
        <w:spacing w:line="480" w:lineRule="exact"/>
        <w:rPr>
          <w:rFonts w:ascii="方正小标宋简体" w:hAnsi="方正小标宋简体" w:eastAsia="方正小标宋简体" w:cs="方正小标宋简体"/>
          <w:color w:val="000000"/>
          <w:kern w:val="0"/>
          <w:sz w:val="28"/>
          <w:szCs w:val="28"/>
        </w:rPr>
      </w:pPr>
      <w:r>
        <w:rPr>
          <w:rFonts w:hint="eastAsia" w:ascii="方正小标宋简体" w:hAnsi="方正小标宋简体" w:eastAsia="方正小标宋简体" w:cs="方正小标宋简体"/>
          <w:color w:val="000000"/>
          <w:kern w:val="0"/>
          <w:sz w:val="28"/>
          <w:szCs w:val="28"/>
        </w:rPr>
        <w:t>专题六：就业能力提升2（6学时）</w:t>
      </w:r>
    </w:p>
    <w:p>
      <w:pPr>
        <w:widowControl/>
        <w:tabs>
          <w:tab w:val="right" w:pos="7752"/>
        </w:tabs>
        <w:spacing w:line="480" w:lineRule="exact"/>
        <w:rPr>
          <w:rFonts w:ascii="仿宋" w:hAnsi="仿宋" w:eastAsia="仿宋" w:cs="仿宋"/>
          <w:color w:val="000000"/>
          <w:kern w:val="0"/>
          <w:sz w:val="28"/>
          <w:szCs w:val="28"/>
        </w:rPr>
      </w:pPr>
      <w:r>
        <w:rPr>
          <w:rFonts w:hint="eastAsia" w:ascii="仿宋" w:hAnsi="仿宋" w:eastAsia="仿宋" w:cs="仿宋"/>
          <w:b/>
          <w:bCs/>
          <w:color w:val="0C0C0C" w:themeColor="text1" w:themeTint="F2"/>
          <w:kern w:val="0"/>
          <w:sz w:val="28"/>
          <w:szCs w:val="28"/>
        </w:rPr>
        <w:t>开课形式：</w:t>
      </w:r>
      <w:r>
        <w:rPr>
          <w:rFonts w:hint="eastAsia" w:ascii="仿宋" w:hAnsi="仿宋" w:eastAsia="仿宋" w:cs="仿宋"/>
          <w:color w:val="0C0C0C" w:themeColor="text1" w:themeTint="F2"/>
          <w:kern w:val="0"/>
          <w:sz w:val="28"/>
          <w:szCs w:val="28"/>
        </w:rPr>
        <w:t>必选+自</w:t>
      </w:r>
      <w:r>
        <w:rPr>
          <w:rFonts w:hint="eastAsia" w:ascii="仿宋" w:hAnsi="仿宋" w:eastAsia="仿宋" w:cs="仿宋"/>
          <w:color w:val="000000"/>
          <w:kern w:val="0"/>
          <w:sz w:val="28"/>
          <w:szCs w:val="28"/>
        </w:rPr>
        <w:t>选+其他</w:t>
      </w:r>
    </w:p>
    <w:p>
      <w:pPr>
        <w:widowControl/>
        <w:tabs>
          <w:tab w:val="right" w:pos="7752"/>
        </w:tabs>
        <w:spacing w:line="480" w:lineRule="exact"/>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授课阶段：</w:t>
      </w:r>
      <w:r>
        <w:rPr>
          <w:rFonts w:hint="eastAsia" w:ascii="仿宋" w:hAnsi="仿宋" w:eastAsia="仿宋" w:cs="仿宋"/>
          <w:color w:val="000000"/>
          <w:kern w:val="0"/>
          <w:sz w:val="28"/>
          <w:szCs w:val="28"/>
        </w:rPr>
        <w:t>大学三年级下学期</w:t>
      </w:r>
    </w:p>
    <w:p>
      <w:pPr>
        <w:widowControl/>
        <w:spacing w:line="480" w:lineRule="exact"/>
        <w:jc w:val="left"/>
        <w:rPr>
          <w:rFonts w:ascii="仿宋" w:hAnsi="仿宋" w:eastAsia="仿宋" w:cs="仿宋"/>
          <w:color w:val="000000"/>
          <w:kern w:val="0"/>
          <w:sz w:val="28"/>
          <w:szCs w:val="28"/>
        </w:rPr>
      </w:pPr>
      <w:r>
        <w:rPr>
          <w:rFonts w:hint="eastAsia" w:ascii="仿宋" w:hAnsi="仿宋" w:eastAsia="仿宋" w:cs="仿宋"/>
          <w:b/>
          <w:bCs/>
          <w:color w:val="000000"/>
          <w:kern w:val="0"/>
          <w:sz w:val="28"/>
          <w:szCs w:val="28"/>
        </w:rPr>
        <w:t>教学内容：</w:t>
      </w:r>
      <w:r>
        <w:rPr>
          <w:rFonts w:hint="eastAsia" w:ascii="仿宋" w:hAnsi="仿宋" w:eastAsia="仿宋" w:cs="仿宋"/>
          <w:color w:val="000000"/>
          <w:kern w:val="0"/>
          <w:sz w:val="28"/>
          <w:szCs w:val="28"/>
        </w:rPr>
        <w:t>求职礼仪、就业观、就业心态调整、就业责权利等。</w:t>
      </w:r>
    </w:p>
    <w:p>
      <w:pPr>
        <w:widowControl/>
        <w:spacing w:line="0" w:lineRule="atLeast"/>
        <w:jc w:val="left"/>
        <w:rPr>
          <w:rFonts w:ascii="仿宋" w:hAnsi="仿宋" w:eastAsia="仿宋" w:cs="仿宋"/>
          <w:color w:val="000000"/>
          <w:kern w:val="0"/>
          <w:sz w:val="28"/>
          <w:szCs w:val="28"/>
        </w:rPr>
      </w:pPr>
    </w:p>
    <w:p>
      <w:pPr>
        <w:widowControl/>
        <w:spacing w:line="480" w:lineRule="exact"/>
        <w:jc w:val="left"/>
        <w:rPr>
          <w:rFonts w:ascii="仿宋" w:hAnsi="仿宋" w:eastAsia="仿宋" w:cs="仿宋"/>
          <w:color w:val="000000"/>
          <w:kern w:val="0"/>
          <w:sz w:val="28"/>
          <w:szCs w:val="28"/>
        </w:rPr>
      </w:pPr>
      <w:r>
        <w:rPr>
          <w:rFonts w:hint="eastAsia" w:ascii="仿宋" w:hAnsi="仿宋" w:eastAsia="仿宋" w:cs="仿宋"/>
          <w:b/>
          <w:color w:val="000000"/>
          <w:kern w:val="0"/>
          <w:sz w:val="28"/>
          <w:szCs w:val="28"/>
        </w:rPr>
        <w:t>注：</w:t>
      </w:r>
      <w:r>
        <w:rPr>
          <w:rFonts w:hint="eastAsia" w:ascii="仿宋" w:hAnsi="仿宋" w:eastAsia="仿宋" w:cs="仿宋"/>
          <w:color w:val="000000"/>
          <w:kern w:val="0"/>
          <w:sz w:val="28"/>
          <w:szCs w:val="28"/>
        </w:rPr>
        <w:t>1.以上专题仅为课程建设方向，具体专题名称可自拟。</w:t>
      </w:r>
    </w:p>
    <w:p>
      <w:pPr>
        <w:widowControl/>
        <w:spacing w:line="480" w:lineRule="exac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ascii="仿宋" w:hAnsi="仿宋" w:eastAsia="仿宋" w:cs="仿宋"/>
          <w:color w:val="000000"/>
          <w:kern w:val="0"/>
          <w:sz w:val="28"/>
          <w:szCs w:val="28"/>
        </w:rPr>
        <w:t xml:space="preserve">   2.</w:t>
      </w:r>
      <w:r>
        <w:rPr>
          <w:rFonts w:hint="eastAsia" w:ascii="仿宋" w:hAnsi="仿宋" w:eastAsia="仿宋" w:cs="仿宋"/>
          <w:color w:val="000000"/>
          <w:kern w:val="0"/>
          <w:sz w:val="28"/>
          <w:szCs w:val="28"/>
        </w:rPr>
        <w:t>开课形式中其他指设计的教学内容通过学生课外自学或学院实践等形式开设，不纳入就业指导课的38个学时范畴。</w:t>
      </w:r>
    </w:p>
    <w:p>
      <w:pPr>
        <w:widowControl/>
        <w:spacing w:line="480" w:lineRule="exact"/>
        <w:jc w:val="left"/>
        <w:rPr>
          <w:rFonts w:ascii="仿宋" w:hAnsi="仿宋" w:eastAsia="仿宋" w:cs="仿宋"/>
          <w:color w:val="000000"/>
          <w:kern w:val="0"/>
          <w:sz w:val="28"/>
          <w:szCs w:val="28"/>
        </w:rPr>
      </w:pPr>
      <w:bookmarkStart w:id="0" w:name="_GoBack"/>
      <w:bookmarkEnd w:id="0"/>
    </w:p>
    <w:sectPr>
      <w:pgSz w:w="11906" w:h="16838"/>
      <w:pgMar w:top="1871" w:right="1474"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7261"/>
    <w:rsid w:val="00011AC5"/>
    <w:rsid w:val="0002397A"/>
    <w:rsid w:val="00092318"/>
    <w:rsid w:val="000B091E"/>
    <w:rsid w:val="001016F6"/>
    <w:rsid w:val="001D7738"/>
    <w:rsid w:val="001E3DC6"/>
    <w:rsid w:val="001F6524"/>
    <w:rsid w:val="00206AF4"/>
    <w:rsid w:val="002207E4"/>
    <w:rsid w:val="002A3507"/>
    <w:rsid w:val="002B25D5"/>
    <w:rsid w:val="0030768D"/>
    <w:rsid w:val="0033661A"/>
    <w:rsid w:val="003500F2"/>
    <w:rsid w:val="003B58A0"/>
    <w:rsid w:val="003C1054"/>
    <w:rsid w:val="00427C6D"/>
    <w:rsid w:val="00435CA9"/>
    <w:rsid w:val="004C7595"/>
    <w:rsid w:val="00536208"/>
    <w:rsid w:val="00557221"/>
    <w:rsid w:val="0056259D"/>
    <w:rsid w:val="00565295"/>
    <w:rsid w:val="00574A31"/>
    <w:rsid w:val="00575481"/>
    <w:rsid w:val="005762F5"/>
    <w:rsid w:val="005B6A63"/>
    <w:rsid w:val="005F2403"/>
    <w:rsid w:val="005F3D91"/>
    <w:rsid w:val="00600068"/>
    <w:rsid w:val="00602F0E"/>
    <w:rsid w:val="00611003"/>
    <w:rsid w:val="006C1853"/>
    <w:rsid w:val="00701A42"/>
    <w:rsid w:val="00724933"/>
    <w:rsid w:val="007B4B00"/>
    <w:rsid w:val="00810F97"/>
    <w:rsid w:val="00822993"/>
    <w:rsid w:val="00846F85"/>
    <w:rsid w:val="00850031"/>
    <w:rsid w:val="008576F5"/>
    <w:rsid w:val="008F30F5"/>
    <w:rsid w:val="00953A85"/>
    <w:rsid w:val="009672CD"/>
    <w:rsid w:val="00987BF3"/>
    <w:rsid w:val="00A66250"/>
    <w:rsid w:val="00BA3A44"/>
    <w:rsid w:val="00BA7F2D"/>
    <w:rsid w:val="00BB7261"/>
    <w:rsid w:val="00BE7954"/>
    <w:rsid w:val="00CA3D15"/>
    <w:rsid w:val="00D240E5"/>
    <w:rsid w:val="00D337CA"/>
    <w:rsid w:val="00DA1847"/>
    <w:rsid w:val="00DC7BD6"/>
    <w:rsid w:val="00DD7508"/>
    <w:rsid w:val="00E41A73"/>
    <w:rsid w:val="00E637E3"/>
    <w:rsid w:val="00E67A27"/>
    <w:rsid w:val="00E833F6"/>
    <w:rsid w:val="00EC59BC"/>
    <w:rsid w:val="00EE3282"/>
    <w:rsid w:val="00FE2773"/>
    <w:rsid w:val="06E7098F"/>
    <w:rsid w:val="077C5BC3"/>
    <w:rsid w:val="08470B79"/>
    <w:rsid w:val="0BD0770E"/>
    <w:rsid w:val="0BDD3372"/>
    <w:rsid w:val="15B768F5"/>
    <w:rsid w:val="21053DB3"/>
    <w:rsid w:val="27CA6DC8"/>
    <w:rsid w:val="29FB03C1"/>
    <w:rsid w:val="34A80EE6"/>
    <w:rsid w:val="36123EEA"/>
    <w:rsid w:val="36BB0D35"/>
    <w:rsid w:val="377B29AD"/>
    <w:rsid w:val="39F854C5"/>
    <w:rsid w:val="3BFB44AD"/>
    <w:rsid w:val="3CAF556F"/>
    <w:rsid w:val="3DE7642F"/>
    <w:rsid w:val="428544EE"/>
    <w:rsid w:val="42BB0D7E"/>
    <w:rsid w:val="43D77857"/>
    <w:rsid w:val="44021FBF"/>
    <w:rsid w:val="456E754C"/>
    <w:rsid w:val="4D5028C4"/>
    <w:rsid w:val="50E86245"/>
    <w:rsid w:val="568A03BA"/>
    <w:rsid w:val="60084423"/>
    <w:rsid w:val="6016647A"/>
    <w:rsid w:val="61281EF7"/>
    <w:rsid w:val="613A4E8C"/>
    <w:rsid w:val="67F3106B"/>
    <w:rsid w:val="68656A34"/>
    <w:rsid w:val="688C7B84"/>
    <w:rsid w:val="6AA631E8"/>
    <w:rsid w:val="6CBF57D8"/>
    <w:rsid w:val="6CC326B5"/>
    <w:rsid w:val="6F6B1E2B"/>
    <w:rsid w:val="6F970E2F"/>
    <w:rsid w:val="70593B06"/>
    <w:rsid w:val="706F5BAF"/>
    <w:rsid w:val="71A777AC"/>
    <w:rsid w:val="720833F9"/>
    <w:rsid w:val="722C454A"/>
    <w:rsid w:val="739F1D96"/>
    <w:rsid w:val="78756C7D"/>
    <w:rsid w:val="7877385D"/>
    <w:rsid w:val="7CF0121D"/>
    <w:rsid w:val="7E7A6804"/>
    <w:rsid w:val="7FA33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9">
    <w:name w:val="Strong"/>
    <w:basedOn w:val="8"/>
    <w:qFormat/>
    <w:uiPriority w:val="0"/>
    <w:rPr>
      <w:b/>
      <w:bCs/>
    </w:rPr>
  </w:style>
  <w:style w:type="character" w:styleId="10">
    <w:name w:val="Hyperlink"/>
    <w:basedOn w:val="8"/>
    <w:unhideWhenUsed/>
    <w:qFormat/>
    <w:uiPriority w:val="99"/>
    <w:rPr>
      <w:color w:val="000031"/>
      <w:u w:val="none"/>
    </w:rPr>
  </w:style>
  <w:style w:type="paragraph" w:customStyle="1" w:styleId="11">
    <w:name w:val="style2"/>
    <w:basedOn w:val="1"/>
    <w:qFormat/>
    <w:uiPriority w:val="0"/>
    <w:pPr>
      <w:widowControl/>
      <w:spacing w:before="100" w:beforeAutospacing="1" w:after="100" w:afterAutospacing="1"/>
      <w:jc w:val="left"/>
    </w:pPr>
    <w:rPr>
      <w:rFonts w:ascii="宋体" w:hAnsi="宋体" w:eastAsia="宋体" w:cs="宋体"/>
      <w:b/>
      <w:bCs/>
      <w:color w:val="000000"/>
      <w:kern w:val="0"/>
      <w:sz w:val="31"/>
      <w:szCs w:val="31"/>
    </w:rPr>
  </w:style>
  <w:style w:type="paragraph" w:customStyle="1" w:styleId="12">
    <w:name w:val="列出段落1"/>
    <w:basedOn w:val="1"/>
    <w:qFormat/>
    <w:uiPriority w:val="34"/>
    <w:pPr>
      <w:ind w:firstLine="420" w:firstLineChars="200"/>
    </w:pPr>
  </w:style>
  <w:style w:type="character" w:customStyle="1" w:styleId="13">
    <w:name w:val="页眉 字符"/>
    <w:basedOn w:val="8"/>
    <w:link w:val="4"/>
    <w:semiHidden/>
    <w:qFormat/>
    <w:uiPriority w:val="99"/>
    <w:rPr>
      <w:sz w:val="18"/>
      <w:szCs w:val="18"/>
    </w:rPr>
  </w:style>
  <w:style w:type="character" w:customStyle="1" w:styleId="14">
    <w:name w:val="页脚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1198FF-EC91-45A8-8FAA-040FEA53745A}">
  <ds:schemaRefs/>
</ds:datastoreItem>
</file>

<file path=docProps/app.xml><?xml version="1.0" encoding="utf-8"?>
<Properties xmlns="http://schemas.openxmlformats.org/officeDocument/2006/extended-properties" xmlns:vt="http://schemas.openxmlformats.org/officeDocument/2006/docPropsVTypes">
  <Template>Normal</Template>
  <Pages>9</Pages>
  <Words>377</Words>
  <Characters>2150</Characters>
  <Lines>17</Lines>
  <Paragraphs>5</Paragraphs>
  <TotalTime>26</TotalTime>
  <ScaleCrop>false</ScaleCrop>
  <LinksUpToDate>false</LinksUpToDate>
  <CharactersWithSpaces>2522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2018-04-20T09:17:00Z</dcterms:created>
  <dc:creator>admin</dc:creator>
  <cp:lastModifiedBy>Administrator</cp:lastModifiedBy>
  <cp:lastPrinted>2019-03-26T02:58:00Z</cp:lastPrinted>
  <dcterms:modified xsi:type="dcterms:W3CDTF">2019-03-29T01:53:58Z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