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附件一：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长沙理工大学“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eastAsia="zh-CN"/>
        </w:rPr>
        <w:t>阳光朋辈优秀个人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”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eastAsia="zh-CN"/>
        </w:rPr>
        <w:t>名额分配表</w:t>
      </w:r>
    </w:p>
    <w:bookmarkEnd w:id="0"/>
    <w:p>
      <w:pPr>
        <w:pStyle w:val="4"/>
        <w:spacing w:line="360" w:lineRule="auto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 xml:space="preserve">                       </w:t>
      </w:r>
    </w:p>
    <w:tbl>
      <w:tblPr>
        <w:tblStyle w:val="3"/>
        <w:tblW w:w="8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1"/>
        <w:gridCol w:w="2111"/>
        <w:gridCol w:w="2104"/>
        <w:gridCol w:w="2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各学院“阳光朋辈优秀个人”名额分配表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优秀个人名额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优秀个人名额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数统学院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汽机学院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电气学院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能动学院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计通学院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城南学院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pacing w:line="360" w:lineRule="auto"/>
        <w:jc w:val="left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17D89"/>
    <w:rsid w:val="4C817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2017-05-09T09:43:00Z</dcterms:created>
  <dc:creator>smile</dc:creator>
  <cp:lastModifiedBy>smile</cp:lastModifiedBy>
  <dcterms:modified xsi:type="dcterms:W3CDTF">2017-05-09T09:44:52Z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